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006A" w14:textId="629C636C" w:rsidR="007433DB" w:rsidRPr="004F2FE7" w:rsidRDefault="00463643" w:rsidP="0062341E">
      <w:pPr>
        <w:autoSpaceDE w:val="0"/>
        <w:autoSpaceDN w:val="0"/>
        <w:adjustRightInd w:val="0"/>
        <w:jc w:val="center"/>
        <w:rPr>
          <w:rFonts w:ascii="Bookman Old Style" w:hAnsi="Bookman Old Style" w:cs="TimesNewRomanPS-BoldMT"/>
          <w:b/>
          <w:bCs/>
        </w:rPr>
      </w:pPr>
      <w:r>
        <w:rPr>
          <w:noProof/>
        </w:rPr>
        <w:drawing>
          <wp:inline distT="0" distB="0" distL="0" distR="0" wp14:anchorId="249F1F2C" wp14:editId="077B94E8">
            <wp:extent cx="762000" cy="1123950"/>
            <wp:effectExtent l="0" t="0" r="0" b="0"/>
            <wp:docPr id="1210468949" name="Immagine 1" descr="Immagine che contiene linea, Carattere, diagramma, Rettangolo&#10;&#10;Descrizione generata automaticamente">
              <a:extLst xmlns:a="http://schemas.openxmlformats.org/drawingml/2006/main">
                <a:ext uri="{FF2B5EF4-FFF2-40B4-BE49-F238E27FC236}">
                  <a16:creationId xmlns:a16="http://schemas.microsoft.com/office/drawing/2014/main" id="{78B61F78-FE8F-4FAB-8764-1D7EC0C89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68949" name="Immagine 1" descr="Immagine che contiene linea, Carattere, diagramma, Rettangol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123950"/>
                    </a:xfrm>
                    <a:prstGeom prst="rect">
                      <a:avLst/>
                    </a:prstGeom>
                    <a:noFill/>
                    <a:ln>
                      <a:noFill/>
                    </a:ln>
                  </pic:spPr>
                </pic:pic>
              </a:graphicData>
            </a:graphic>
          </wp:inline>
        </w:drawing>
      </w:r>
    </w:p>
    <w:p w14:paraId="4C452F56" w14:textId="77777777" w:rsidR="00873723" w:rsidRPr="004F2FE7" w:rsidRDefault="00873723" w:rsidP="0062341E">
      <w:pPr>
        <w:jc w:val="both"/>
        <w:rPr>
          <w:rFonts w:ascii="Bookman Old Style" w:hAnsi="Bookman Old Style" w:cstheme="minorBidi"/>
          <w:b/>
          <w:bCs/>
          <w:kern w:val="2"/>
        </w:rPr>
      </w:pPr>
    </w:p>
    <w:p w14:paraId="57C05D7C" w14:textId="77777777" w:rsidR="00061A13" w:rsidRDefault="00EA59B8" w:rsidP="0062341E">
      <w:pPr>
        <w:jc w:val="center"/>
        <w:rPr>
          <w:rFonts w:ascii="Bookman Old Style" w:hAnsi="Bookman Old Style" w:cs="TimesNewRomanPS-BoldMT"/>
          <w:b/>
          <w:bCs/>
        </w:rPr>
      </w:pPr>
      <w:r w:rsidRPr="00061A13">
        <w:rPr>
          <w:rFonts w:ascii="Bookman Old Style" w:hAnsi="Bookman Old Style" w:cs="TimesNewRomanPS-BoldMT"/>
          <w:b/>
          <w:bCs/>
        </w:rPr>
        <w:t xml:space="preserve">NOTA SINTETICA </w:t>
      </w:r>
    </w:p>
    <w:p w14:paraId="197346B4" w14:textId="2E000552" w:rsidR="003D3B0D" w:rsidRPr="00061A13" w:rsidRDefault="004073F0" w:rsidP="0062341E">
      <w:pPr>
        <w:jc w:val="center"/>
        <w:rPr>
          <w:rFonts w:ascii="Bookman Old Style" w:hAnsi="Bookman Old Style" w:cs="TimesNewRomanPS-BoldMT"/>
          <w:b/>
          <w:bCs/>
        </w:rPr>
      </w:pPr>
      <w:r w:rsidRPr="00061A13">
        <w:rPr>
          <w:rFonts w:ascii="Bookman Old Style" w:hAnsi="Bookman Old Style" w:cs="TimesNewRomanPS-BoldMT"/>
          <w:b/>
          <w:bCs/>
        </w:rPr>
        <w:t>Decreto</w:t>
      </w:r>
      <w:r>
        <w:rPr>
          <w:rFonts w:ascii="Bookman Old Style" w:hAnsi="Bookman Old Style" w:cs="TimesNewRomanPS-BoldMT"/>
          <w:b/>
          <w:bCs/>
        </w:rPr>
        <w:t xml:space="preserve"> -</w:t>
      </w:r>
      <w:r w:rsidRPr="00061A13">
        <w:rPr>
          <w:rFonts w:ascii="Bookman Old Style" w:hAnsi="Bookman Old Style" w:cs="TimesNewRomanPS-BoldMT"/>
          <w:b/>
          <w:bCs/>
        </w:rPr>
        <w:t xml:space="preserve"> Legge </w:t>
      </w:r>
      <w:r w:rsidR="003D3B0D" w:rsidRPr="00061A13">
        <w:rPr>
          <w:rFonts w:ascii="Bookman Old Style" w:hAnsi="Bookman Old Style" w:cs="TimesNewRomanPS-BoldMT"/>
          <w:b/>
          <w:bCs/>
        </w:rPr>
        <w:t xml:space="preserve">24 febbraio 2026, n. 23 </w:t>
      </w:r>
    </w:p>
    <w:p w14:paraId="363F4139" w14:textId="60EDAF84" w:rsidR="0081266C" w:rsidRPr="00061A13" w:rsidRDefault="003D3B0D" w:rsidP="0062341E">
      <w:pPr>
        <w:jc w:val="center"/>
        <w:rPr>
          <w:rFonts w:ascii="Bookman Old Style" w:hAnsi="Bookman Old Style" w:cs="TimesNewRomanPS-BoldMT"/>
          <w:b/>
          <w:bCs/>
        </w:rPr>
      </w:pPr>
      <w:r w:rsidRPr="00061A13">
        <w:rPr>
          <w:rFonts w:ascii="Bookman Old Style" w:hAnsi="Bookman Old Style" w:cs="TimesNewRomanPS-BoldMT"/>
          <w:b/>
          <w:bCs/>
        </w:rPr>
        <w:t xml:space="preserve"> </w:t>
      </w:r>
      <w:r w:rsidR="0081266C" w:rsidRPr="00061A13">
        <w:rPr>
          <w:rFonts w:ascii="Bookman Old Style" w:hAnsi="Bookman Old Style" w:cs="TimesNewRomanPS-BoldMT"/>
          <w:b/>
          <w:bCs/>
        </w:rPr>
        <w:t xml:space="preserve">recante </w:t>
      </w:r>
    </w:p>
    <w:p w14:paraId="1535E4EA" w14:textId="48129877" w:rsidR="00873723" w:rsidRPr="00FD12A3" w:rsidRDefault="0081266C" w:rsidP="0062341E">
      <w:pPr>
        <w:jc w:val="center"/>
        <w:rPr>
          <w:rFonts w:ascii="Bookman Old Style" w:hAnsi="Bookman Old Style" w:cs="TimesNewRomanPS-BoldMT"/>
          <w:b/>
          <w:bCs/>
          <w:i/>
          <w:iCs/>
        </w:rPr>
      </w:pPr>
      <w:r w:rsidRPr="00FD12A3">
        <w:rPr>
          <w:rFonts w:ascii="Bookman Old Style" w:hAnsi="Bookman Old Style" w:cs="TimesNewRomanPS-BoldMT"/>
          <w:b/>
          <w:bCs/>
          <w:i/>
          <w:iCs/>
        </w:rPr>
        <w:t>“Disposizioni urgenti in materia di sicurezza pubblica, di attività di indagine dell’autorità giudiziaria in presenza di cause di giustificazione, di funzionalità delle Forze di polizia e del Ministero dell’interno, nonché di immigrazione e protezione internazionale</w:t>
      </w:r>
      <w:r w:rsidR="00FD12A3">
        <w:rPr>
          <w:rFonts w:ascii="Bookman Old Style" w:hAnsi="Bookman Old Style" w:cs="TimesNewRomanPS-BoldMT"/>
          <w:b/>
          <w:bCs/>
          <w:i/>
          <w:iCs/>
        </w:rPr>
        <w:t>”</w:t>
      </w:r>
    </w:p>
    <w:p w14:paraId="0511B0E3" w14:textId="54313A77" w:rsidR="007433DB" w:rsidRPr="00061A13" w:rsidRDefault="007433DB" w:rsidP="0062341E">
      <w:pPr>
        <w:autoSpaceDE w:val="0"/>
        <w:autoSpaceDN w:val="0"/>
        <w:adjustRightInd w:val="0"/>
        <w:jc w:val="both"/>
        <w:rPr>
          <w:rFonts w:ascii="Bookman Old Style" w:hAnsi="Bookman Old Style"/>
          <w:b/>
          <w:bCs/>
        </w:rPr>
      </w:pPr>
      <w:bookmarkStart w:id="0" w:name="_Hlk210827600"/>
    </w:p>
    <w:bookmarkEnd w:id="0"/>
    <w:p w14:paraId="4406FBA5" w14:textId="77777777" w:rsidR="007433DB" w:rsidRPr="00061A13" w:rsidRDefault="007433DB" w:rsidP="0062341E">
      <w:pPr>
        <w:jc w:val="center"/>
        <w:rPr>
          <w:rFonts w:ascii="Bookman Old Style" w:hAnsi="Bookman Old Style"/>
          <w:b/>
          <w:bCs/>
        </w:rPr>
      </w:pPr>
    </w:p>
    <w:p w14:paraId="62675913" w14:textId="77777777" w:rsidR="007433DB" w:rsidRPr="00061A13" w:rsidRDefault="007433DB" w:rsidP="0062341E">
      <w:pPr>
        <w:rPr>
          <w:rFonts w:ascii="Bookman Old Style" w:hAnsi="Bookman Old Style"/>
          <w:b/>
          <w:bCs/>
        </w:rPr>
      </w:pPr>
    </w:p>
    <w:p w14:paraId="113DF1D1" w14:textId="41CA8FA0" w:rsidR="000E72A0" w:rsidRPr="00BA32E4" w:rsidRDefault="000E72A0" w:rsidP="0062341E">
      <w:pPr>
        <w:rPr>
          <w:rFonts w:ascii="Bookman Old Style" w:hAnsi="Bookman Old Style"/>
          <w:b/>
          <w:bCs/>
        </w:rPr>
      </w:pPr>
      <w:r w:rsidRPr="00BA32E4">
        <w:rPr>
          <w:rFonts w:ascii="Bookman Old Style" w:hAnsi="Bookman Old Style"/>
          <w:b/>
          <w:bCs/>
        </w:rPr>
        <w:t>PREMESSA</w:t>
      </w:r>
    </w:p>
    <w:p w14:paraId="539302A0" w14:textId="77777777" w:rsidR="000E72A0" w:rsidRDefault="000E72A0" w:rsidP="0062341E">
      <w:pPr>
        <w:rPr>
          <w:rFonts w:ascii="Bookman Old Style" w:hAnsi="Bookman Old Style"/>
          <w:b/>
          <w:bCs/>
          <w:color w:val="0070C0"/>
        </w:rPr>
      </w:pPr>
    </w:p>
    <w:p w14:paraId="3810FD88" w14:textId="4E1CF64A" w:rsidR="00793D92" w:rsidRDefault="00793D92" w:rsidP="0062341E">
      <w:pPr>
        <w:jc w:val="both"/>
        <w:rPr>
          <w:rFonts w:ascii="Bookman Old Style" w:hAnsi="Bookman Old Style"/>
        </w:rPr>
      </w:pPr>
      <w:r>
        <w:rPr>
          <w:rFonts w:ascii="Bookman Old Style" w:hAnsi="Bookman Old Style"/>
        </w:rPr>
        <w:t xml:space="preserve">Il </w:t>
      </w:r>
      <w:r w:rsidRPr="004F2FE7">
        <w:rPr>
          <w:rFonts w:ascii="Bookman Old Style" w:hAnsi="Bookman Old Style"/>
        </w:rPr>
        <w:t>decreto-legge recante “</w:t>
      </w:r>
      <w:r w:rsidRPr="004F2FE7">
        <w:rPr>
          <w:rFonts w:ascii="Bookman Old Style" w:hAnsi="Bookman Old Style"/>
          <w:i/>
          <w:iCs/>
        </w:rPr>
        <w:t>Disposizioni urgenti in materia di sicurezza pubblica, di attività di indagine dell’autorità giudiziaria in presenza di cause di giustificazione, di funzionalità delle Forze di polizia e del Ministero dell’interno, nonché di immigrazione e protezione internazionale</w:t>
      </w:r>
      <w:r w:rsidR="00241EFC">
        <w:rPr>
          <w:rFonts w:ascii="Bookman Old Style" w:hAnsi="Bookman Old Style"/>
        </w:rPr>
        <w:t>, a</w:t>
      </w:r>
      <w:r w:rsidRPr="004F2FE7">
        <w:rPr>
          <w:rFonts w:ascii="Bookman Old Style" w:hAnsi="Bookman Old Style"/>
        </w:rPr>
        <w:t>pprovato dal Consiglio dei ministri nella seduta dello scorso 5 febbraio</w:t>
      </w:r>
      <w:r w:rsidR="00241EFC">
        <w:rPr>
          <w:rFonts w:ascii="Bookman Old Style" w:hAnsi="Bookman Old Style"/>
        </w:rPr>
        <w:t>, è stato p</w:t>
      </w:r>
      <w:r w:rsidRPr="004F2FE7">
        <w:rPr>
          <w:rFonts w:ascii="Bookman Old Style" w:hAnsi="Bookman Old Style"/>
        </w:rPr>
        <w:t xml:space="preserve">ubblicato nella Gazzetta Ufficiale n. 45 del 24 febbraio 2026. </w:t>
      </w:r>
    </w:p>
    <w:p w14:paraId="17E51015" w14:textId="0CF32564" w:rsidR="00241EFC" w:rsidRPr="004F2FE7" w:rsidRDefault="00586394" w:rsidP="0062341E">
      <w:pPr>
        <w:jc w:val="both"/>
        <w:rPr>
          <w:rFonts w:ascii="Bookman Old Style" w:hAnsi="Bookman Old Style"/>
        </w:rPr>
      </w:pPr>
      <w:r>
        <w:rPr>
          <w:rFonts w:ascii="Bookman Old Style" w:hAnsi="Bookman Old Style"/>
        </w:rPr>
        <w:t>È</w:t>
      </w:r>
      <w:r w:rsidR="00241EFC">
        <w:rPr>
          <w:rFonts w:ascii="Bookman Old Style" w:hAnsi="Bookman Old Style"/>
        </w:rPr>
        <w:t xml:space="preserve"> ora stato assegnato alla I Commissione Affari costituzionali del Senato della Repubblica, nell’ambito dell’iter di conversione in legge.</w:t>
      </w:r>
    </w:p>
    <w:p w14:paraId="56AA1BCE" w14:textId="77777777" w:rsidR="00586394" w:rsidRDefault="00586394" w:rsidP="0062341E">
      <w:pPr>
        <w:jc w:val="both"/>
        <w:rPr>
          <w:rFonts w:ascii="Bookman Old Style" w:hAnsi="Bookman Old Style"/>
        </w:rPr>
      </w:pPr>
    </w:p>
    <w:p w14:paraId="1C0CF49D" w14:textId="0B89A1C0" w:rsidR="00793D92" w:rsidRDefault="00793D92" w:rsidP="0062341E">
      <w:pPr>
        <w:jc w:val="both"/>
        <w:rPr>
          <w:rFonts w:ascii="Bookman Old Style" w:hAnsi="Bookman Old Style"/>
        </w:rPr>
      </w:pPr>
      <w:r w:rsidRPr="004F2FE7">
        <w:rPr>
          <w:rFonts w:ascii="Bookman Old Style" w:hAnsi="Bookman Old Style"/>
        </w:rPr>
        <w:t xml:space="preserve">Il </w:t>
      </w:r>
      <w:r w:rsidR="00454536">
        <w:rPr>
          <w:rFonts w:ascii="Bookman Old Style" w:hAnsi="Bookman Old Style"/>
        </w:rPr>
        <w:t>decreto-legge</w:t>
      </w:r>
      <w:r w:rsidRPr="004F2FE7">
        <w:rPr>
          <w:rFonts w:ascii="Bookman Old Style" w:hAnsi="Bookman Old Style"/>
        </w:rPr>
        <w:t xml:space="preserve"> si compone di 33 articoli suddivisi in 4 capi. </w:t>
      </w:r>
      <w:r w:rsidR="00454536">
        <w:rPr>
          <w:rFonts w:ascii="Bookman Old Style" w:hAnsi="Bookman Old Style"/>
        </w:rPr>
        <w:t xml:space="preserve"> </w:t>
      </w:r>
      <w:r w:rsidR="00586394" w:rsidRPr="00586394">
        <w:rPr>
          <w:rFonts w:ascii="Bookman Old Style" w:hAnsi="Bookman Old Style"/>
        </w:rPr>
        <w:t>Tra le novità più importanti, si segnala</w:t>
      </w:r>
      <w:r w:rsidR="00454536">
        <w:rPr>
          <w:rFonts w:ascii="Bookman Old Style" w:hAnsi="Bookman Old Style"/>
        </w:rPr>
        <w:t xml:space="preserve">no quelle contenute all’articolo 6 della norma in commento, ovvero: </w:t>
      </w:r>
    </w:p>
    <w:p w14:paraId="5B816163" w14:textId="77777777" w:rsidR="00D81FD7" w:rsidRPr="00586394" w:rsidRDefault="00D81FD7" w:rsidP="0062341E">
      <w:pPr>
        <w:rPr>
          <w:rFonts w:ascii="Bookman Old Style" w:hAnsi="Bookman Old Style"/>
        </w:rPr>
      </w:pPr>
    </w:p>
    <w:p w14:paraId="415F337F" w14:textId="29A7EFA0" w:rsidR="00D81FD7" w:rsidRPr="004F2FE7" w:rsidRDefault="00D81FD7" w:rsidP="0062341E">
      <w:pPr>
        <w:numPr>
          <w:ilvl w:val="0"/>
          <w:numId w:val="9"/>
        </w:numPr>
        <w:jc w:val="both"/>
        <w:rPr>
          <w:rFonts w:ascii="Bookman Old Style" w:hAnsi="Bookman Old Style"/>
        </w:rPr>
      </w:pPr>
      <w:r w:rsidRPr="004F2FE7">
        <w:rPr>
          <w:rFonts w:ascii="Bookman Old Style" w:hAnsi="Bookman Old Style"/>
        </w:rPr>
        <w:t>la proroga e l’incremento di</w:t>
      </w:r>
      <w:r>
        <w:rPr>
          <w:rFonts w:ascii="Bookman Old Style" w:hAnsi="Bookman Old Style"/>
        </w:rPr>
        <w:t xml:space="preserve"> Fondi esistenti per l’anno 2026: sono stanziati 19 </w:t>
      </w:r>
      <w:r w:rsidR="00454536">
        <w:rPr>
          <w:rFonts w:ascii="Bookman Old Style" w:hAnsi="Bookman Old Style"/>
        </w:rPr>
        <w:t xml:space="preserve">milioni di </w:t>
      </w:r>
      <w:r>
        <w:rPr>
          <w:rFonts w:ascii="Bookman Old Style" w:hAnsi="Bookman Old Style"/>
        </w:rPr>
        <w:t xml:space="preserve">euro per il Fondo sulla videosorveglianza ed è incrementato di 29 milioni di euro il Fondo sicurezza urbana; </w:t>
      </w:r>
    </w:p>
    <w:p w14:paraId="7C4763F4" w14:textId="5975C6F5" w:rsidR="00D81FD7" w:rsidRDefault="00D81FD7" w:rsidP="0062341E">
      <w:pPr>
        <w:numPr>
          <w:ilvl w:val="0"/>
          <w:numId w:val="9"/>
        </w:numPr>
        <w:jc w:val="both"/>
        <w:rPr>
          <w:rFonts w:ascii="Bookman Old Style" w:hAnsi="Bookman Old Style"/>
        </w:rPr>
      </w:pPr>
      <w:r>
        <w:rPr>
          <w:rFonts w:ascii="Bookman Old Style" w:hAnsi="Bookman Old Style"/>
        </w:rPr>
        <w:t>l</w:t>
      </w:r>
      <w:r w:rsidRPr="004F2FE7">
        <w:rPr>
          <w:rFonts w:ascii="Bookman Old Style" w:hAnsi="Bookman Old Style"/>
        </w:rPr>
        <w:t>’introduzione di deroghe ai vincoli ordinari di finanza pubblica e di spesa per il personale della Polizia Locale</w:t>
      </w:r>
      <w:r w:rsidR="00B92D56">
        <w:rPr>
          <w:rFonts w:ascii="Bookman Old Style" w:hAnsi="Bookman Old Style"/>
        </w:rPr>
        <w:t>;</w:t>
      </w:r>
    </w:p>
    <w:p w14:paraId="42A7F0F8" w14:textId="67309497" w:rsidR="00B92D56" w:rsidRPr="004F2FE7" w:rsidRDefault="00B92D56" w:rsidP="0062341E">
      <w:pPr>
        <w:numPr>
          <w:ilvl w:val="0"/>
          <w:numId w:val="9"/>
        </w:numPr>
        <w:jc w:val="both"/>
        <w:rPr>
          <w:rFonts w:ascii="Bookman Old Style" w:hAnsi="Bookman Old Style"/>
        </w:rPr>
      </w:pPr>
      <w:r>
        <w:rPr>
          <w:rFonts w:ascii="Bookman Old Style" w:hAnsi="Bookman Old Style"/>
        </w:rPr>
        <w:t>l’estensione dei provvedimenti di allontanamento e Daspo urbano</w:t>
      </w:r>
      <w:r w:rsidR="00D533BB">
        <w:rPr>
          <w:rFonts w:ascii="Bookman Old Style" w:hAnsi="Bookman Old Style"/>
        </w:rPr>
        <w:t>.</w:t>
      </w:r>
    </w:p>
    <w:p w14:paraId="10C17784" w14:textId="77777777" w:rsidR="007433DB" w:rsidRPr="00586394" w:rsidRDefault="007433DB" w:rsidP="0062341E">
      <w:pPr>
        <w:rPr>
          <w:rFonts w:ascii="Bookman Old Style" w:hAnsi="Bookman Old Style"/>
        </w:rPr>
      </w:pPr>
    </w:p>
    <w:p w14:paraId="2A47F245" w14:textId="77777777" w:rsidR="00241EFC" w:rsidRPr="004F2FE7" w:rsidRDefault="00241EFC" w:rsidP="0062341E">
      <w:pPr>
        <w:rPr>
          <w:rFonts w:ascii="Bookman Old Style" w:hAnsi="Bookman Old Style"/>
        </w:rPr>
      </w:pPr>
    </w:p>
    <w:p w14:paraId="3FE06475" w14:textId="4090131E" w:rsidR="00454536" w:rsidRPr="004F2FE7" w:rsidRDefault="00454536" w:rsidP="0062341E">
      <w:pPr>
        <w:jc w:val="both"/>
        <w:rPr>
          <w:rFonts w:ascii="Bookman Old Style" w:hAnsi="Bookman Old Style"/>
        </w:rPr>
      </w:pPr>
      <w:r w:rsidRPr="001E01C7">
        <w:rPr>
          <w:rFonts w:ascii="Bookman Old Style" w:hAnsi="Bookman Old Style"/>
        </w:rPr>
        <w:t>Il testo contiene alcune delle proposte ANCI</w:t>
      </w:r>
      <w:r>
        <w:rPr>
          <w:rFonts w:ascii="Bookman Old Style" w:hAnsi="Bookman Old Style"/>
        </w:rPr>
        <w:t>, avanzate</w:t>
      </w:r>
      <w:r w:rsidRPr="001E01C7">
        <w:rPr>
          <w:rFonts w:ascii="Bookman Old Style" w:hAnsi="Bookman Old Style"/>
        </w:rPr>
        <w:t xml:space="preserve"> anche nell’incontro dello scorso mese di luglio con il Ministro dell’Interno </w:t>
      </w:r>
      <w:r w:rsidRPr="004F2FE7">
        <w:rPr>
          <w:rFonts w:ascii="Bookman Old Style" w:hAnsi="Bookman Old Style"/>
        </w:rPr>
        <w:t xml:space="preserve">L’ANCI </w:t>
      </w:r>
      <w:r>
        <w:rPr>
          <w:rFonts w:ascii="Bookman Old Style" w:hAnsi="Bookman Old Style"/>
        </w:rPr>
        <w:t>ha s</w:t>
      </w:r>
      <w:r w:rsidRPr="004F2FE7">
        <w:rPr>
          <w:rFonts w:ascii="Bookman Old Style" w:hAnsi="Bookman Old Style"/>
        </w:rPr>
        <w:t>egnalato</w:t>
      </w:r>
      <w:r>
        <w:rPr>
          <w:rFonts w:ascii="Bookman Old Style" w:hAnsi="Bookman Old Style"/>
        </w:rPr>
        <w:t xml:space="preserve"> da tempo</w:t>
      </w:r>
      <w:r w:rsidRPr="004F2FE7">
        <w:rPr>
          <w:rFonts w:ascii="Bookman Old Style" w:hAnsi="Bookman Old Style"/>
        </w:rPr>
        <w:t xml:space="preserve"> come prioritario un </w:t>
      </w:r>
      <w:r w:rsidRPr="0020418B">
        <w:rPr>
          <w:rFonts w:ascii="Bookman Old Style" w:hAnsi="Bookman Old Style"/>
        </w:rPr>
        <w:t xml:space="preserve">investimento finanziario dello Stato a favore delle città per lo svolgimento dei compiti in materia di sicurezza urbana </w:t>
      </w:r>
      <w:r w:rsidRPr="004F2FE7">
        <w:rPr>
          <w:rFonts w:ascii="Bookman Old Style" w:hAnsi="Bookman Old Style"/>
        </w:rPr>
        <w:t>nonché l’ampliamento progressivo della platea dei Comuni destinatari</w:t>
      </w:r>
      <w:r>
        <w:rPr>
          <w:rFonts w:ascii="Bookman Old Style" w:hAnsi="Bookman Old Style"/>
        </w:rPr>
        <w:t xml:space="preserve"> ed inoltre un urgente intervento sul personale delle Polizie Locali. </w:t>
      </w:r>
    </w:p>
    <w:p w14:paraId="2DDDC389" w14:textId="77777777" w:rsidR="00454536" w:rsidRDefault="00454536" w:rsidP="0062341E">
      <w:pPr>
        <w:autoSpaceDE w:val="0"/>
        <w:autoSpaceDN w:val="0"/>
        <w:adjustRightInd w:val="0"/>
        <w:jc w:val="both"/>
        <w:rPr>
          <w:rFonts w:ascii="Bookman Old Style" w:hAnsi="Bookman Old Style" w:cs="TimesNewRomanPS-BoldMT"/>
        </w:rPr>
      </w:pPr>
    </w:p>
    <w:p w14:paraId="2024D3DC" w14:textId="77777777" w:rsidR="00454536" w:rsidRDefault="00454536" w:rsidP="0062341E">
      <w:pPr>
        <w:autoSpaceDE w:val="0"/>
        <w:autoSpaceDN w:val="0"/>
        <w:adjustRightInd w:val="0"/>
        <w:jc w:val="both"/>
        <w:rPr>
          <w:rFonts w:ascii="Bookman Old Style" w:hAnsi="Bookman Old Style" w:cs="TimesNewRomanPS-BoldMT"/>
        </w:rPr>
      </w:pPr>
    </w:p>
    <w:p w14:paraId="5D7C0E99" w14:textId="439FE04B" w:rsidR="00D81FD7" w:rsidRPr="004F2FE7" w:rsidRDefault="00D81FD7" w:rsidP="0062341E">
      <w:pPr>
        <w:autoSpaceDE w:val="0"/>
        <w:autoSpaceDN w:val="0"/>
        <w:adjustRightInd w:val="0"/>
        <w:jc w:val="both"/>
        <w:rPr>
          <w:rFonts w:ascii="Bookman Old Style" w:hAnsi="Bookman Old Style" w:cs="TimesNewRomanPS-BoldMT"/>
        </w:rPr>
      </w:pPr>
      <w:r w:rsidRPr="00D81FD7">
        <w:rPr>
          <w:rFonts w:ascii="Bookman Old Style" w:hAnsi="Bookman Old Style" w:cs="TimesNewRomanPS-BoldMT"/>
        </w:rPr>
        <w:t xml:space="preserve">Di seguito, si riporta una nota sintetica sui contenuti di principale interesse per </w:t>
      </w:r>
      <w:r>
        <w:rPr>
          <w:rFonts w:ascii="Bookman Old Style" w:hAnsi="Bookman Old Style" w:cs="TimesNewRomanPS-BoldMT"/>
        </w:rPr>
        <w:t xml:space="preserve">i </w:t>
      </w:r>
      <w:r w:rsidRPr="00D81FD7">
        <w:rPr>
          <w:rFonts w:ascii="Bookman Old Style" w:hAnsi="Bookman Old Style" w:cs="TimesNewRomanPS-BoldMT"/>
        </w:rPr>
        <w:t>Comun</w:t>
      </w:r>
      <w:r w:rsidR="0062341E">
        <w:rPr>
          <w:rFonts w:ascii="Bookman Old Style" w:hAnsi="Bookman Old Style" w:cs="TimesNewRomanPS-BoldMT"/>
        </w:rPr>
        <w:t xml:space="preserve">i. </w:t>
      </w:r>
    </w:p>
    <w:p w14:paraId="6D4CE8AB" w14:textId="097454F3" w:rsidR="003426D6" w:rsidRDefault="003426D6" w:rsidP="009E08CF">
      <w:pPr>
        <w:autoSpaceDE w:val="0"/>
        <w:autoSpaceDN w:val="0"/>
        <w:adjustRightInd w:val="0"/>
        <w:spacing w:line="360" w:lineRule="auto"/>
        <w:jc w:val="both"/>
        <w:rPr>
          <w:rFonts w:ascii="Bookman Old Style" w:hAnsi="Bookman Old Style" w:cs="TimesNewRomanPS-BoldMT"/>
        </w:rPr>
      </w:pPr>
    </w:p>
    <w:p w14:paraId="029A1EA4" w14:textId="77777777" w:rsidR="005802BC" w:rsidRDefault="005802BC" w:rsidP="009E08CF">
      <w:pPr>
        <w:autoSpaceDE w:val="0"/>
        <w:autoSpaceDN w:val="0"/>
        <w:adjustRightInd w:val="0"/>
        <w:spacing w:line="360" w:lineRule="auto"/>
        <w:jc w:val="both"/>
        <w:rPr>
          <w:rFonts w:ascii="Bookman Old Style" w:hAnsi="Bookman Old Style" w:cs="TimesNewRomanPS-BoldMT"/>
        </w:rPr>
      </w:pPr>
    </w:p>
    <w:p w14:paraId="35FA9BDF" w14:textId="77777777" w:rsidR="005802BC" w:rsidRDefault="005802BC" w:rsidP="009E08CF">
      <w:pPr>
        <w:autoSpaceDE w:val="0"/>
        <w:autoSpaceDN w:val="0"/>
        <w:adjustRightInd w:val="0"/>
        <w:spacing w:line="360" w:lineRule="auto"/>
        <w:jc w:val="both"/>
        <w:rPr>
          <w:rFonts w:ascii="Bookman Old Style" w:hAnsi="Bookman Old Style" w:cs="TimesNewRomanPS-BoldMT"/>
        </w:rPr>
      </w:pPr>
    </w:p>
    <w:p w14:paraId="30BF26CC" w14:textId="77777777" w:rsidR="005802BC" w:rsidRDefault="005802BC" w:rsidP="009E08CF">
      <w:pPr>
        <w:autoSpaceDE w:val="0"/>
        <w:autoSpaceDN w:val="0"/>
        <w:adjustRightInd w:val="0"/>
        <w:spacing w:line="360" w:lineRule="auto"/>
        <w:jc w:val="both"/>
        <w:rPr>
          <w:rFonts w:ascii="Bookman Old Style" w:hAnsi="Bookman Old Style" w:cs="TimesNewRomanPS-BoldMT"/>
        </w:rPr>
      </w:pPr>
    </w:p>
    <w:p w14:paraId="7FF67E2A" w14:textId="77777777" w:rsidR="00220E36" w:rsidRPr="004F2FE7" w:rsidRDefault="00220E36" w:rsidP="009E08CF">
      <w:pPr>
        <w:autoSpaceDE w:val="0"/>
        <w:autoSpaceDN w:val="0"/>
        <w:adjustRightInd w:val="0"/>
        <w:spacing w:line="360" w:lineRule="auto"/>
        <w:jc w:val="both"/>
        <w:rPr>
          <w:rFonts w:ascii="Bookman Old Style" w:hAnsi="Bookman Old Style" w:cs="TimesNewRomanPS-BoldMT"/>
        </w:rPr>
      </w:pPr>
    </w:p>
    <w:p w14:paraId="592EBC44" w14:textId="394FC303" w:rsidR="00FC5E0E" w:rsidRPr="00EE0735" w:rsidRDefault="00DF0080" w:rsidP="006D238C">
      <w:pPr>
        <w:pStyle w:val="Paragrafoelenco"/>
        <w:numPr>
          <w:ilvl w:val="0"/>
          <w:numId w:val="25"/>
        </w:numPr>
        <w:autoSpaceDE w:val="0"/>
        <w:autoSpaceDN w:val="0"/>
        <w:adjustRightInd w:val="0"/>
        <w:spacing w:line="360" w:lineRule="auto"/>
        <w:jc w:val="both"/>
        <w:rPr>
          <w:rFonts w:ascii="Bookman Old Style" w:hAnsi="Bookman Old Style"/>
          <w:b/>
          <w:bCs/>
          <w:color w:val="004E9A"/>
          <w:u w:val="single"/>
        </w:rPr>
      </w:pPr>
      <w:r w:rsidRPr="00EE0735">
        <w:rPr>
          <w:rFonts w:ascii="Bookman Old Style" w:hAnsi="Bookman Old Style"/>
          <w:b/>
          <w:bCs/>
          <w:color w:val="004E9A"/>
          <w:u w:val="single"/>
        </w:rPr>
        <w:lastRenderedPageBreak/>
        <w:t>Potenziamento delle iniziative in materia di sicurezza urbana</w:t>
      </w:r>
      <w:r w:rsidR="006D238C" w:rsidRPr="00EE0735">
        <w:rPr>
          <w:rFonts w:ascii="Bookman Old Style" w:hAnsi="Bookman Old Style"/>
          <w:b/>
          <w:bCs/>
          <w:color w:val="004E9A"/>
          <w:u w:val="single"/>
        </w:rPr>
        <w:t xml:space="preserve"> – articolo 6</w:t>
      </w:r>
    </w:p>
    <w:p w14:paraId="1AABBF57" w14:textId="77777777" w:rsidR="006D0470" w:rsidRPr="004F2FE7" w:rsidRDefault="006D0470" w:rsidP="00AE3787">
      <w:pPr>
        <w:spacing w:line="360" w:lineRule="auto"/>
        <w:jc w:val="both"/>
        <w:rPr>
          <w:rFonts w:ascii="Bookman Old Style" w:hAnsi="Bookman Old Style"/>
        </w:rPr>
      </w:pPr>
    </w:p>
    <w:p w14:paraId="60404FD0" w14:textId="25723DBB" w:rsidR="006D0470" w:rsidRPr="00F308CF" w:rsidRDefault="00F308CF" w:rsidP="00F308CF">
      <w:pPr>
        <w:pStyle w:val="Paragrafoelenco"/>
        <w:numPr>
          <w:ilvl w:val="0"/>
          <w:numId w:val="26"/>
        </w:numPr>
        <w:spacing w:line="360" w:lineRule="auto"/>
        <w:jc w:val="both"/>
        <w:rPr>
          <w:rFonts w:ascii="Bookman Old Style" w:hAnsi="Bookman Old Style"/>
          <w:b/>
          <w:bCs/>
          <w:color w:val="004E9A"/>
        </w:rPr>
      </w:pPr>
      <w:r w:rsidRPr="00F308CF">
        <w:rPr>
          <w:rFonts w:ascii="Bookman Old Style" w:hAnsi="Bookman Old Style"/>
          <w:b/>
          <w:bCs/>
          <w:color w:val="004E9A"/>
        </w:rPr>
        <w:t>Estensione al 2026 dei finanziamenti sulla v</w:t>
      </w:r>
      <w:r w:rsidR="00453B83" w:rsidRPr="00F308CF">
        <w:rPr>
          <w:rFonts w:ascii="Bookman Old Style" w:hAnsi="Bookman Old Style"/>
          <w:b/>
          <w:bCs/>
          <w:color w:val="004E9A"/>
        </w:rPr>
        <w:t>ideosorveglianza</w:t>
      </w:r>
      <w:r w:rsidRPr="00F308CF">
        <w:rPr>
          <w:rFonts w:ascii="Bookman Old Style" w:hAnsi="Bookman Old Style"/>
          <w:b/>
          <w:bCs/>
          <w:color w:val="004E9A"/>
        </w:rPr>
        <w:t xml:space="preserve"> – art 6 comma 1</w:t>
      </w:r>
    </w:p>
    <w:p w14:paraId="4E45182C" w14:textId="17BE9588" w:rsidR="006E6BB7" w:rsidRPr="004F2FE7" w:rsidRDefault="006D0470" w:rsidP="0062341E">
      <w:pPr>
        <w:jc w:val="both"/>
        <w:rPr>
          <w:rFonts w:ascii="Bookman Old Style" w:hAnsi="Bookman Old Style"/>
        </w:rPr>
      </w:pPr>
      <w:r w:rsidRPr="0062341E">
        <w:rPr>
          <w:rFonts w:ascii="Bookman Old Style" w:hAnsi="Bookman Old Style"/>
        </w:rPr>
        <w:t>I</w:t>
      </w:r>
      <w:r w:rsidR="00AE3787" w:rsidRPr="0062341E">
        <w:rPr>
          <w:rFonts w:ascii="Bookman Old Style" w:hAnsi="Bookman Old Style"/>
        </w:rPr>
        <w:t>l comma 1</w:t>
      </w:r>
      <w:r w:rsidR="00AE3787" w:rsidRPr="004F2FE7">
        <w:rPr>
          <w:rFonts w:ascii="Bookman Old Style" w:hAnsi="Bookman Old Style"/>
        </w:rPr>
        <w:t xml:space="preserve"> estende</w:t>
      </w:r>
      <w:r w:rsidR="00E512F2" w:rsidRPr="004F2FE7">
        <w:rPr>
          <w:rFonts w:ascii="Bookman Old Style" w:hAnsi="Bookman Old Style"/>
        </w:rPr>
        <w:t xml:space="preserve"> </w:t>
      </w:r>
      <w:r w:rsidR="00E512F2" w:rsidRPr="004F2FE7">
        <w:rPr>
          <w:rFonts w:ascii="Bookman Old Style" w:hAnsi="Bookman Old Style"/>
          <w:b/>
          <w:bCs/>
        </w:rPr>
        <w:t>all’anno 2026</w:t>
      </w:r>
      <w:r w:rsidR="00AE3787" w:rsidRPr="004F2FE7">
        <w:rPr>
          <w:rFonts w:ascii="Bookman Old Style" w:hAnsi="Bookman Old Style"/>
          <w:b/>
          <w:bCs/>
        </w:rPr>
        <w:t xml:space="preserve"> </w:t>
      </w:r>
      <w:r w:rsidR="007F2609" w:rsidRPr="004F2FE7">
        <w:rPr>
          <w:rFonts w:ascii="Bookman Old Style" w:hAnsi="Bookman Old Style"/>
          <w:b/>
          <w:bCs/>
        </w:rPr>
        <w:t xml:space="preserve">i </w:t>
      </w:r>
      <w:r w:rsidR="00F27662" w:rsidRPr="004F2FE7">
        <w:rPr>
          <w:rFonts w:ascii="Bookman Old Style" w:hAnsi="Bookman Old Style"/>
          <w:b/>
          <w:bCs/>
        </w:rPr>
        <w:t>finanziamenti diretti</w:t>
      </w:r>
      <w:r w:rsidR="00E33E1C" w:rsidRPr="004F2FE7">
        <w:rPr>
          <w:rFonts w:ascii="Bookman Old Style" w:hAnsi="Bookman Old Style"/>
          <w:b/>
          <w:bCs/>
        </w:rPr>
        <w:t xml:space="preserve"> </w:t>
      </w:r>
      <w:r w:rsidR="007267F1" w:rsidRPr="004F2FE7">
        <w:rPr>
          <w:rFonts w:ascii="Bookman Old Style" w:hAnsi="Bookman Old Style"/>
          <w:b/>
          <w:bCs/>
        </w:rPr>
        <w:t>ai Comuni per l</w:t>
      </w:r>
      <w:r w:rsidR="00DF5914" w:rsidRPr="004F2FE7">
        <w:rPr>
          <w:rFonts w:ascii="Bookman Old Style" w:hAnsi="Bookman Old Style"/>
          <w:b/>
          <w:bCs/>
        </w:rPr>
        <w:t>’installazione di sistemi di videosorveglianz</w:t>
      </w:r>
      <w:r w:rsidR="004912DD" w:rsidRPr="004F2FE7">
        <w:rPr>
          <w:rFonts w:ascii="Bookman Old Style" w:hAnsi="Bookman Old Style"/>
          <w:b/>
          <w:bCs/>
        </w:rPr>
        <w:t>a</w:t>
      </w:r>
      <w:r w:rsidR="00100247" w:rsidRPr="004F2FE7">
        <w:rPr>
          <w:rFonts w:ascii="Bookman Old Style" w:hAnsi="Bookman Old Style"/>
          <w:b/>
          <w:bCs/>
        </w:rPr>
        <w:t xml:space="preserve"> </w:t>
      </w:r>
      <w:r w:rsidR="00EF1BB5" w:rsidRPr="004F2FE7">
        <w:rPr>
          <w:rFonts w:ascii="Bookman Old Style" w:hAnsi="Bookman Old Style"/>
        </w:rPr>
        <w:t>per un importo pari a</w:t>
      </w:r>
      <w:r w:rsidR="00E512F2" w:rsidRPr="004F2FE7">
        <w:rPr>
          <w:rFonts w:ascii="Bookman Old Style" w:hAnsi="Bookman Old Style"/>
        </w:rPr>
        <w:t xml:space="preserve"> </w:t>
      </w:r>
      <w:r w:rsidR="00531532" w:rsidRPr="004F2FE7">
        <w:rPr>
          <w:rFonts w:ascii="Bookman Old Style" w:hAnsi="Bookman Old Style"/>
          <w:b/>
          <w:bCs/>
        </w:rPr>
        <w:t>19 milioni di euro</w:t>
      </w:r>
      <w:r w:rsidR="00EF1BB5" w:rsidRPr="004F2FE7">
        <w:rPr>
          <w:rFonts w:ascii="Bookman Old Style" w:hAnsi="Bookman Old Style"/>
          <w:b/>
          <w:bCs/>
        </w:rPr>
        <w:t xml:space="preserve">. </w:t>
      </w:r>
      <w:r w:rsidR="00920DBE" w:rsidRPr="004F2FE7">
        <w:rPr>
          <w:rFonts w:ascii="Bookman Old Style" w:hAnsi="Bookman Old Style"/>
        </w:rPr>
        <w:t xml:space="preserve">Si tratta di </w:t>
      </w:r>
      <w:r w:rsidR="00655439" w:rsidRPr="004F2FE7">
        <w:rPr>
          <w:rFonts w:ascii="Bookman Old Style" w:hAnsi="Bookman Old Style"/>
        </w:rPr>
        <w:t xml:space="preserve">un rifinanziamento del </w:t>
      </w:r>
      <w:r w:rsidR="009C1B82" w:rsidRPr="004F2FE7">
        <w:rPr>
          <w:rFonts w:ascii="Bookman Old Style" w:hAnsi="Bookman Old Style"/>
        </w:rPr>
        <w:t xml:space="preserve">Fondo nazionale sulla videosorveglianza, originariamente </w:t>
      </w:r>
      <w:r w:rsidR="00EF40BB" w:rsidRPr="004F2FE7">
        <w:rPr>
          <w:rFonts w:ascii="Bookman Old Style" w:hAnsi="Bookman Old Style"/>
        </w:rPr>
        <w:t xml:space="preserve">istituito </w:t>
      </w:r>
      <w:r w:rsidR="00712A51" w:rsidRPr="004F2FE7">
        <w:rPr>
          <w:rFonts w:ascii="Bookman Old Style" w:hAnsi="Bookman Old Style"/>
        </w:rPr>
        <w:t xml:space="preserve">dall’art. 5 comma 2 ter del D.L. 14/2017 convertito con modificazioni nella L. 48/2017, </w:t>
      </w:r>
      <w:r w:rsidR="00332D08" w:rsidRPr="004F2FE7">
        <w:rPr>
          <w:rFonts w:ascii="Bookman Old Style" w:hAnsi="Bookman Old Style"/>
        </w:rPr>
        <w:t>e successivamente incrementat</w:t>
      </w:r>
      <w:r w:rsidR="00EF40BB" w:rsidRPr="004F2FE7">
        <w:rPr>
          <w:rFonts w:ascii="Bookman Old Style" w:hAnsi="Bookman Old Style"/>
        </w:rPr>
        <w:t>o</w:t>
      </w:r>
      <w:r w:rsidR="00332D08" w:rsidRPr="004F2FE7">
        <w:rPr>
          <w:rFonts w:ascii="Bookman Old Style" w:hAnsi="Bookman Old Style"/>
        </w:rPr>
        <w:t xml:space="preserve"> dall’art. 1 comma 676 della L. 197/2022</w:t>
      </w:r>
      <w:r w:rsidR="000B468C" w:rsidRPr="004F2FE7">
        <w:rPr>
          <w:rFonts w:ascii="Bookman Old Style" w:hAnsi="Bookman Old Style"/>
        </w:rPr>
        <w:t xml:space="preserve"> </w:t>
      </w:r>
      <w:r w:rsidR="00332D08" w:rsidRPr="004F2FE7">
        <w:rPr>
          <w:rFonts w:ascii="Bookman Old Style" w:hAnsi="Bookman Old Style"/>
        </w:rPr>
        <w:t>e dall’art. 3 ter del D. L. 123/2023 convertito in L. 159/2023</w:t>
      </w:r>
      <w:r w:rsidR="00EF40BB" w:rsidRPr="004F2FE7">
        <w:rPr>
          <w:rFonts w:ascii="Bookman Old Style" w:hAnsi="Bookman Old Style"/>
        </w:rPr>
        <w:t xml:space="preserve">. </w:t>
      </w:r>
      <w:r w:rsidR="00D73F79" w:rsidRPr="004F2FE7">
        <w:rPr>
          <w:rFonts w:ascii="Bookman Old Style" w:hAnsi="Bookman Old Style"/>
        </w:rPr>
        <w:t xml:space="preserve"> </w:t>
      </w:r>
      <w:r w:rsidR="000B468C" w:rsidRPr="004F2FE7">
        <w:rPr>
          <w:rFonts w:ascii="Bookman Old Style" w:hAnsi="Bookman Old Style"/>
        </w:rPr>
        <w:t>Si ricorda che ne</w:t>
      </w:r>
      <w:r w:rsidR="009F3E3B" w:rsidRPr="004F2FE7">
        <w:rPr>
          <w:rFonts w:ascii="Bookman Old Style" w:hAnsi="Bookman Old Style"/>
        </w:rPr>
        <w:t xml:space="preserve">llo scorso mese di novembre, con decreto del Ministro dell’Interno, sono state ripartite le risorse a valere sull’anno 2024 fra </w:t>
      </w:r>
      <w:r w:rsidR="006E6BB7" w:rsidRPr="004F2FE7">
        <w:rPr>
          <w:rFonts w:ascii="Bookman Old Style" w:hAnsi="Bookman Old Style"/>
        </w:rPr>
        <w:t>336 comuni, tenendo conto dell’indice di delittuosità sul territorio e del numero di abitanti, su un totale di 1666 proposte presentate. </w:t>
      </w:r>
    </w:p>
    <w:p w14:paraId="087D2DFB" w14:textId="28029B49" w:rsidR="00155D41" w:rsidRPr="004F2FE7" w:rsidRDefault="00155D41" w:rsidP="0062341E">
      <w:pPr>
        <w:jc w:val="both"/>
        <w:rPr>
          <w:rFonts w:ascii="Bookman Old Style" w:hAnsi="Bookman Old Style"/>
        </w:rPr>
      </w:pPr>
      <w:r w:rsidRPr="004F2FE7">
        <w:rPr>
          <w:rFonts w:ascii="Bookman Old Style" w:hAnsi="Bookman Old Style"/>
        </w:rPr>
        <w:t xml:space="preserve">L’ANCI aveva segnalato la necessità di un rifinanziamento del Fondo, considerato che le risorse </w:t>
      </w:r>
      <w:r w:rsidR="00D73F79" w:rsidRPr="004F2FE7">
        <w:rPr>
          <w:rFonts w:ascii="Bookman Old Style" w:hAnsi="Bookman Old Style"/>
        </w:rPr>
        <w:t>p</w:t>
      </w:r>
      <w:r w:rsidRPr="004F2FE7">
        <w:rPr>
          <w:rFonts w:ascii="Bookman Old Style" w:hAnsi="Bookman Old Style"/>
        </w:rPr>
        <w:t>reviste si fermavano al 2025</w:t>
      </w:r>
      <w:r w:rsidR="00582A02" w:rsidRPr="004F2FE7">
        <w:rPr>
          <w:rFonts w:ascii="Bookman Old Style" w:hAnsi="Bookman Old Style"/>
        </w:rPr>
        <w:t xml:space="preserve"> e la previsione in oggetto va in tale direzione.</w:t>
      </w:r>
      <w:r w:rsidRPr="004F2FE7">
        <w:rPr>
          <w:rFonts w:ascii="Bookman Old Style" w:hAnsi="Bookman Old Style"/>
        </w:rPr>
        <w:t xml:space="preserve"> </w:t>
      </w:r>
      <w:r w:rsidR="00A17A0F" w:rsidRPr="004F2FE7">
        <w:rPr>
          <w:rFonts w:ascii="Bookman Old Style" w:hAnsi="Bookman Old Style"/>
        </w:rPr>
        <w:t>P</w:t>
      </w:r>
      <w:r w:rsidR="00ED5EE5" w:rsidRPr="004F2FE7">
        <w:rPr>
          <w:rFonts w:ascii="Bookman Old Style" w:hAnsi="Bookman Old Style"/>
        </w:rPr>
        <w:t xml:space="preserve">ertanto, </w:t>
      </w:r>
      <w:r w:rsidR="00582A02" w:rsidRPr="004F2FE7">
        <w:rPr>
          <w:rFonts w:ascii="Bookman Old Style" w:hAnsi="Bookman Old Style"/>
        </w:rPr>
        <w:t xml:space="preserve">nell’anno in corso </w:t>
      </w:r>
      <w:r w:rsidR="00592CA8" w:rsidRPr="004F2FE7">
        <w:rPr>
          <w:rFonts w:ascii="Bookman Old Style" w:hAnsi="Bookman Old Style"/>
        </w:rPr>
        <w:t xml:space="preserve">saranno ripartite con decreto </w:t>
      </w:r>
      <w:r w:rsidR="00582A02" w:rsidRPr="004F2FE7">
        <w:rPr>
          <w:rFonts w:ascii="Bookman Old Style" w:hAnsi="Bookman Old Style"/>
        </w:rPr>
        <w:t>ministeriale</w:t>
      </w:r>
      <w:r w:rsidR="00592CA8" w:rsidRPr="004F2FE7">
        <w:rPr>
          <w:rFonts w:ascii="Bookman Old Style" w:hAnsi="Bookman Old Style"/>
        </w:rPr>
        <w:t xml:space="preserve"> le risorse </w:t>
      </w:r>
      <w:r w:rsidR="00AE15CF" w:rsidRPr="004F2FE7">
        <w:rPr>
          <w:rFonts w:ascii="Bookman Old Style" w:hAnsi="Bookman Old Style"/>
        </w:rPr>
        <w:t xml:space="preserve">già previste </w:t>
      </w:r>
      <w:r w:rsidR="00592CA8" w:rsidRPr="004F2FE7">
        <w:rPr>
          <w:rFonts w:ascii="Bookman Old Style" w:hAnsi="Bookman Old Style"/>
        </w:rPr>
        <w:t>a valere sull’anno 2025 pari a 19 milioni di euro e</w:t>
      </w:r>
      <w:r w:rsidR="00AE15CF" w:rsidRPr="004F2FE7">
        <w:rPr>
          <w:rFonts w:ascii="Bookman Old Style" w:hAnsi="Bookman Old Style"/>
        </w:rPr>
        <w:t xml:space="preserve">, </w:t>
      </w:r>
      <w:r w:rsidR="00A17A0F" w:rsidRPr="004F2FE7">
        <w:rPr>
          <w:rFonts w:ascii="Bookman Old Style" w:hAnsi="Bookman Old Style"/>
        </w:rPr>
        <w:t xml:space="preserve">a seguito </w:t>
      </w:r>
      <w:r w:rsidR="00002A9E" w:rsidRPr="004F2FE7">
        <w:rPr>
          <w:rFonts w:ascii="Bookman Old Style" w:hAnsi="Bookman Old Style"/>
        </w:rPr>
        <w:t>dell’integrazione</w:t>
      </w:r>
      <w:r w:rsidR="00CA03CF" w:rsidRPr="004F2FE7">
        <w:rPr>
          <w:rFonts w:ascii="Bookman Old Style" w:hAnsi="Bookman Old Style"/>
        </w:rPr>
        <w:t xml:space="preserve"> nella norma in commento</w:t>
      </w:r>
      <w:r w:rsidR="00A17A0F" w:rsidRPr="004F2FE7">
        <w:rPr>
          <w:rFonts w:ascii="Bookman Old Style" w:hAnsi="Bookman Old Style"/>
        </w:rPr>
        <w:t xml:space="preserve">, </w:t>
      </w:r>
      <w:r w:rsidR="00CA03CF" w:rsidRPr="004F2FE7">
        <w:rPr>
          <w:rFonts w:ascii="Bookman Old Style" w:hAnsi="Bookman Old Style"/>
        </w:rPr>
        <w:t xml:space="preserve">il prossimo anno, </w:t>
      </w:r>
      <w:r w:rsidR="00AE15CF" w:rsidRPr="004F2FE7">
        <w:rPr>
          <w:rFonts w:ascii="Bookman Old Style" w:hAnsi="Bookman Old Style"/>
        </w:rPr>
        <w:t xml:space="preserve">con decreto ministeriale </w:t>
      </w:r>
      <w:r w:rsidR="00CA03CF" w:rsidRPr="004F2FE7">
        <w:rPr>
          <w:rFonts w:ascii="Bookman Old Style" w:hAnsi="Bookman Old Style"/>
        </w:rPr>
        <w:t>saranno ripartite</w:t>
      </w:r>
      <w:r w:rsidR="00592CA8" w:rsidRPr="004F2FE7">
        <w:rPr>
          <w:rFonts w:ascii="Bookman Old Style" w:hAnsi="Bookman Old Style"/>
        </w:rPr>
        <w:t xml:space="preserve"> </w:t>
      </w:r>
      <w:r w:rsidR="009E40A2" w:rsidRPr="004F2FE7">
        <w:rPr>
          <w:rFonts w:ascii="Bookman Old Style" w:hAnsi="Bookman Old Style"/>
        </w:rPr>
        <w:t xml:space="preserve">le </w:t>
      </w:r>
      <w:r w:rsidR="000C12E8" w:rsidRPr="004F2FE7">
        <w:rPr>
          <w:rFonts w:ascii="Bookman Old Style" w:hAnsi="Bookman Old Style"/>
        </w:rPr>
        <w:t>nuove risorse</w:t>
      </w:r>
      <w:r w:rsidR="00ED5EE5" w:rsidRPr="004F2FE7">
        <w:rPr>
          <w:rFonts w:ascii="Bookman Old Style" w:hAnsi="Bookman Old Style"/>
        </w:rPr>
        <w:t xml:space="preserve"> a valere sull’anno 202</w:t>
      </w:r>
      <w:r w:rsidR="009E40A2" w:rsidRPr="004F2FE7">
        <w:rPr>
          <w:rFonts w:ascii="Bookman Old Style" w:hAnsi="Bookman Old Style"/>
        </w:rPr>
        <w:t>6</w:t>
      </w:r>
      <w:r w:rsidR="00ED5EE5" w:rsidRPr="004F2FE7">
        <w:rPr>
          <w:rFonts w:ascii="Bookman Old Style" w:hAnsi="Bookman Old Style"/>
        </w:rPr>
        <w:t xml:space="preserve"> </w:t>
      </w:r>
      <w:r w:rsidR="009E40A2" w:rsidRPr="004F2FE7">
        <w:rPr>
          <w:rFonts w:ascii="Bookman Old Style" w:hAnsi="Bookman Old Style"/>
        </w:rPr>
        <w:t xml:space="preserve">pari a 19 milioni di euro. </w:t>
      </w:r>
    </w:p>
    <w:p w14:paraId="57070486" w14:textId="4BBD3A15" w:rsidR="009F3E3B" w:rsidRPr="004F2FE7" w:rsidRDefault="009F3E3B" w:rsidP="00AE3787">
      <w:pPr>
        <w:spacing w:line="360" w:lineRule="auto"/>
        <w:jc w:val="both"/>
        <w:rPr>
          <w:rFonts w:ascii="Bookman Old Style" w:hAnsi="Bookman Old Style"/>
        </w:rPr>
      </w:pPr>
    </w:p>
    <w:p w14:paraId="482D71AD" w14:textId="31838286" w:rsidR="00827BD5" w:rsidRDefault="005802BC" w:rsidP="00FF1CBF">
      <w:pPr>
        <w:pStyle w:val="Paragrafoelenco"/>
        <w:numPr>
          <w:ilvl w:val="0"/>
          <w:numId w:val="26"/>
        </w:numPr>
        <w:ind w:left="714" w:hanging="357"/>
        <w:jc w:val="both"/>
        <w:rPr>
          <w:rFonts w:ascii="Bookman Old Style" w:hAnsi="Bookman Old Style"/>
          <w:b/>
          <w:bCs/>
          <w:color w:val="004E9A"/>
        </w:rPr>
      </w:pPr>
      <w:r w:rsidRPr="005802BC">
        <w:rPr>
          <w:rFonts w:ascii="Bookman Old Style" w:hAnsi="Bookman Old Style"/>
          <w:b/>
          <w:bCs/>
          <w:color w:val="004E9A"/>
        </w:rPr>
        <w:t xml:space="preserve">Incremento per il 2026 delle risorse del </w:t>
      </w:r>
      <w:r w:rsidR="00CE53A7" w:rsidRPr="005802BC">
        <w:rPr>
          <w:rFonts w:ascii="Bookman Old Style" w:hAnsi="Bookman Old Style"/>
          <w:b/>
          <w:bCs/>
          <w:color w:val="004E9A"/>
        </w:rPr>
        <w:t xml:space="preserve">Fondo </w:t>
      </w:r>
      <w:r w:rsidRPr="005802BC">
        <w:rPr>
          <w:rFonts w:ascii="Bookman Old Style" w:hAnsi="Bookman Old Style"/>
          <w:b/>
          <w:bCs/>
          <w:color w:val="004E9A"/>
        </w:rPr>
        <w:t xml:space="preserve">sulla </w:t>
      </w:r>
      <w:r w:rsidR="00CE53A7" w:rsidRPr="005802BC">
        <w:rPr>
          <w:rFonts w:ascii="Bookman Old Style" w:hAnsi="Bookman Old Style"/>
          <w:b/>
          <w:bCs/>
          <w:color w:val="004E9A"/>
        </w:rPr>
        <w:t xml:space="preserve">sicurezza </w:t>
      </w:r>
      <w:r w:rsidR="003065DD" w:rsidRPr="005802BC">
        <w:rPr>
          <w:rFonts w:ascii="Bookman Old Style" w:hAnsi="Bookman Old Style"/>
          <w:b/>
          <w:bCs/>
          <w:color w:val="004E9A"/>
        </w:rPr>
        <w:t>urbana</w:t>
      </w:r>
      <w:r w:rsidR="00761F06">
        <w:rPr>
          <w:rFonts w:ascii="Bookman Old Style" w:hAnsi="Bookman Old Style"/>
          <w:b/>
          <w:bCs/>
          <w:color w:val="004E9A"/>
        </w:rPr>
        <w:t xml:space="preserve"> - </w:t>
      </w:r>
      <w:r w:rsidR="00761F06" w:rsidRPr="00F308CF">
        <w:rPr>
          <w:rFonts w:ascii="Bookman Old Style" w:hAnsi="Bookman Old Style"/>
          <w:b/>
          <w:bCs/>
          <w:color w:val="004E9A"/>
        </w:rPr>
        <w:t xml:space="preserve">art 6 comma </w:t>
      </w:r>
      <w:r w:rsidR="00761F06">
        <w:rPr>
          <w:rFonts w:ascii="Bookman Old Style" w:hAnsi="Bookman Old Style"/>
          <w:b/>
          <w:bCs/>
          <w:color w:val="004E9A"/>
        </w:rPr>
        <w:t>2</w:t>
      </w:r>
    </w:p>
    <w:p w14:paraId="4267E9BD" w14:textId="77777777" w:rsidR="00FF1CBF" w:rsidRPr="005802BC" w:rsidRDefault="00FF1CBF" w:rsidP="00FF1CBF">
      <w:pPr>
        <w:pStyle w:val="Paragrafoelenco"/>
        <w:ind w:left="714"/>
        <w:jc w:val="both"/>
        <w:rPr>
          <w:rFonts w:ascii="Bookman Old Style" w:hAnsi="Bookman Old Style"/>
          <w:b/>
          <w:bCs/>
          <w:color w:val="004E9A"/>
        </w:rPr>
      </w:pPr>
    </w:p>
    <w:p w14:paraId="7CAE0CE9" w14:textId="6A90233F" w:rsidR="0044523D" w:rsidRPr="004F2FE7" w:rsidRDefault="00827BD5" w:rsidP="00EF3DD2">
      <w:pPr>
        <w:jc w:val="both"/>
        <w:rPr>
          <w:rFonts w:ascii="Bookman Old Style" w:hAnsi="Bookman Old Style"/>
        </w:rPr>
      </w:pPr>
      <w:r w:rsidRPr="00EF3DD2">
        <w:rPr>
          <w:rFonts w:ascii="Bookman Old Style" w:hAnsi="Bookman Old Style"/>
        </w:rPr>
        <w:t>I</w:t>
      </w:r>
      <w:r w:rsidR="003065DD" w:rsidRPr="00EF3DD2">
        <w:rPr>
          <w:rFonts w:ascii="Bookman Old Style" w:hAnsi="Bookman Old Style"/>
        </w:rPr>
        <w:t>l</w:t>
      </w:r>
      <w:r w:rsidR="00AE3787" w:rsidRPr="00EF3DD2">
        <w:rPr>
          <w:rFonts w:ascii="Bookman Old Style" w:hAnsi="Bookman Old Style"/>
        </w:rPr>
        <w:t xml:space="preserve"> comma 2</w:t>
      </w:r>
      <w:r w:rsidR="00AE3787" w:rsidRPr="004F2FE7">
        <w:rPr>
          <w:rFonts w:ascii="Bookman Old Style" w:hAnsi="Bookman Old Style"/>
        </w:rPr>
        <w:t xml:space="preserve"> </w:t>
      </w:r>
      <w:r w:rsidR="00FA03FF" w:rsidRPr="004F2FE7">
        <w:rPr>
          <w:rFonts w:ascii="Bookman Old Style" w:hAnsi="Bookman Old Style"/>
          <w:b/>
          <w:bCs/>
        </w:rPr>
        <w:t xml:space="preserve">incrementa </w:t>
      </w:r>
      <w:r w:rsidR="00666087" w:rsidRPr="004F2FE7">
        <w:rPr>
          <w:rFonts w:ascii="Bookman Old Style" w:hAnsi="Bookman Old Style"/>
          <w:b/>
          <w:bCs/>
        </w:rPr>
        <w:t xml:space="preserve">di 29 milioni di euro </w:t>
      </w:r>
      <w:r w:rsidR="00BD0E42" w:rsidRPr="004F2FE7">
        <w:rPr>
          <w:rFonts w:ascii="Bookman Old Style" w:hAnsi="Bookman Old Style"/>
          <w:b/>
          <w:bCs/>
        </w:rPr>
        <w:t xml:space="preserve">per l’anno 2026 </w:t>
      </w:r>
      <w:r w:rsidR="00FA03FF" w:rsidRPr="00EF3DD2">
        <w:rPr>
          <w:rFonts w:ascii="Bookman Old Style" w:hAnsi="Bookman Old Style"/>
        </w:rPr>
        <w:t>le risorse del Fondo</w:t>
      </w:r>
      <w:r w:rsidR="000422A8" w:rsidRPr="004F2FE7">
        <w:rPr>
          <w:rFonts w:ascii="Bookman Old Style" w:hAnsi="Bookman Old Style"/>
        </w:rPr>
        <w:t xml:space="preserve"> per il potenziamento delle iniziative in materia di sicurezza urbana da parte dei Comuni</w:t>
      </w:r>
      <w:r w:rsidR="005E3C7F" w:rsidRPr="00D533BB">
        <w:rPr>
          <w:rFonts w:ascii="Bookman Old Style" w:hAnsi="Bookman Old Style"/>
        </w:rPr>
        <w:t>, che passano quindi dagli attuali 25 milioni di euro</w:t>
      </w:r>
      <w:r w:rsidR="00DF0012" w:rsidRPr="00D533BB">
        <w:rPr>
          <w:rFonts w:ascii="Bookman Old Style" w:hAnsi="Bookman Old Style"/>
        </w:rPr>
        <w:t xml:space="preserve"> previsti</w:t>
      </w:r>
      <w:r w:rsidR="005E3C7F" w:rsidRPr="00D533BB">
        <w:rPr>
          <w:rFonts w:ascii="Bookman Old Style" w:hAnsi="Bookman Old Style"/>
        </w:rPr>
        <w:t xml:space="preserve"> a </w:t>
      </w:r>
      <w:r w:rsidR="00CF6C5C" w:rsidRPr="00D533BB">
        <w:rPr>
          <w:rFonts w:ascii="Bookman Old Style" w:hAnsi="Bookman Old Style"/>
        </w:rPr>
        <w:t>5</w:t>
      </w:r>
      <w:r w:rsidR="0093139C" w:rsidRPr="00D533BB">
        <w:rPr>
          <w:rFonts w:ascii="Bookman Old Style" w:hAnsi="Bookman Old Style"/>
        </w:rPr>
        <w:t xml:space="preserve">4 milioni di euro per il 2026. </w:t>
      </w:r>
      <w:r w:rsidR="00EF3DD2" w:rsidRPr="00D533BB">
        <w:rPr>
          <w:rFonts w:ascii="Bookman Old Style" w:hAnsi="Bookman Old Style"/>
        </w:rPr>
        <w:t xml:space="preserve"> </w:t>
      </w:r>
      <w:r w:rsidR="00CF6C5C" w:rsidRPr="00D533BB">
        <w:rPr>
          <w:rFonts w:ascii="Bookman Old Style" w:hAnsi="Bookman Old Style"/>
        </w:rPr>
        <w:t>Si ricorda che i</w:t>
      </w:r>
      <w:r w:rsidR="0065422A" w:rsidRPr="00D533BB">
        <w:rPr>
          <w:rFonts w:ascii="Bookman Old Style" w:hAnsi="Bookman Old Style"/>
        </w:rPr>
        <w:t>l Fondo</w:t>
      </w:r>
      <w:r w:rsidR="00FD4D60" w:rsidRPr="00D533BB">
        <w:rPr>
          <w:rFonts w:ascii="Bookman Old Style" w:hAnsi="Bookman Old Style"/>
        </w:rPr>
        <w:t xml:space="preserve"> </w:t>
      </w:r>
      <w:r w:rsidR="006F56B4" w:rsidRPr="00D533BB">
        <w:rPr>
          <w:rFonts w:ascii="Bookman Old Style" w:hAnsi="Bookman Old Style"/>
        </w:rPr>
        <w:t>è</w:t>
      </w:r>
      <w:r w:rsidR="00FD4D60" w:rsidRPr="00D533BB">
        <w:rPr>
          <w:rFonts w:ascii="Bookman Old Style" w:hAnsi="Bookman Old Style"/>
        </w:rPr>
        <w:t xml:space="preserve"> stato istituito dall’art. 35 quater del D.L. 113/2018</w:t>
      </w:r>
      <w:r w:rsidR="00FD4D60" w:rsidRPr="004F2FE7">
        <w:rPr>
          <w:rFonts w:ascii="Bookman Old Style" w:hAnsi="Bookman Old Style"/>
        </w:rPr>
        <w:t xml:space="preserve"> convertito con modificazioni nella L. 132/2018 e successivamente </w:t>
      </w:r>
      <w:r w:rsidR="00271FBB" w:rsidRPr="004F2FE7">
        <w:rPr>
          <w:rFonts w:ascii="Bookman Old Style" w:hAnsi="Bookman Old Style"/>
        </w:rPr>
        <w:t>incrementato dall’art. 1 comma 920 della L. 145/2018 (</w:t>
      </w:r>
      <w:r w:rsidR="003668E4" w:rsidRPr="004F2FE7">
        <w:rPr>
          <w:rFonts w:ascii="Bookman Old Style" w:hAnsi="Bookman Old Style"/>
        </w:rPr>
        <w:t>L</w:t>
      </w:r>
      <w:r w:rsidR="00271FBB" w:rsidRPr="004F2FE7">
        <w:rPr>
          <w:rFonts w:ascii="Bookman Old Style" w:hAnsi="Bookman Old Style"/>
        </w:rPr>
        <w:t>.</w:t>
      </w:r>
      <w:r w:rsidR="004C7BD3" w:rsidRPr="004F2FE7">
        <w:rPr>
          <w:rFonts w:ascii="Bookman Old Style" w:hAnsi="Bookman Old Style"/>
        </w:rPr>
        <w:t xml:space="preserve"> </w:t>
      </w:r>
      <w:r w:rsidR="00271FBB" w:rsidRPr="004F2FE7">
        <w:rPr>
          <w:rFonts w:ascii="Bookman Old Style" w:hAnsi="Bookman Old Style"/>
        </w:rPr>
        <w:t xml:space="preserve">di bilancio per il 2019). </w:t>
      </w:r>
    </w:p>
    <w:p w14:paraId="11E7910E" w14:textId="4DC1643C" w:rsidR="0044523D" w:rsidRPr="0044523D" w:rsidRDefault="0044523D" w:rsidP="00EF3DD2">
      <w:pPr>
        <w:jc w:val="both"/>
        <w:rPr>
          <w:rFonts w:ascii="Bookman Old Style" w:hAnsi="Bookman Old Style"/>
        </w:rPr>
      </w:pPr>
      <w:r w:rsidRPr="004F2FE7">
        <w:rPr>
          <w:rFonts w:ascii="Bookman Old Style" w:hAnsi="Bookman Old Style"/>
        </w:rPr>
        <w:t>Il d</w:t>
      </w:r>
      <w:r w:rsidRPr="0044523D">
        <w:rPr>
          <w:rFonts w:ascii="Bookman Old Style" w:hAnsi="Bookman Old Style"/>
        </w:rPr>
        <w:t xml:space="preserve">ecreto del Ministro dell'interno di concerto con il Ministro dell'economia e delle finanze, del 29 dicembre 2023, </w:t>
      </w:r>
      <w:r w:rsidRPr="004F2FE7">
        <w:rPr>
          <w:rFonts w:ascii="Bookman Old Style" w:hAnsi="Bookman Old Style"/>
        </w:rPr>
        <w:t>ha disciplinato la r</w:t>
      </w:r>
      <w:r w:rsidRPr="0044523D">
        <w:rPr>
          <w:rFonts w:ascii="Bookman Old Style" w:hAnsi="Bookman Old Style"/>
        </w:rPr>
        <w:t>ipartizione dei criteri per l'assegnazione delle risorse del Fondo Sicurezza Urbana nel triennio 2024/2026</w:t>
      </w:r>
      <w:r w:rsidR="00D533BB">
        <w:rPr>
          <w:rFonts w:ascii="Bookman Old Style" w:hAnsi="Bookman Old Style"/>
        </w:rPr>
        <w:t>.</w:t>
      </w:r>
    </w:p>
    <w:p w14:paraId="63BBBB71" w14:textId="4CFD7AAA" w:rsidR="00112AFC" w:rsidRPr="004F2FE7" w:rsidRDefault="00112AFC" w:rsidP="00EF3DD2">
      <w:pPr>
        <w:jc w:val="both"/>
        <w:rPr>
          <w:rFonts w:ascii="Bookman Old Style" w:hAnsi="Bookman Old Style"/>
        </w:rPr>
      </w:pPr>
      <w:r w:rsidRPr="004F2FE7">
        <w:rPr>
          <w:rFonts w:ascii="Bookman Old Style" w:hAnsi="Bookman Old Style"/>
        </w:rPr>
        <w:t xml:space="preserve">L’ANCI aveva segnalato come prioritario </w:t>
      </w:r>
      <w:r w:rsidR="003C5178" w:rsidRPr="004F2FE7">
        <w:rPr>
          <w:rFonts w:ascii="Bookman Old Style" w:hAnsi="Bookman Old Style"/>
        </w:rPr>
        <w:t xml:space="preserve">un </w:t>
      </w:r>
      <w:r w:rsidR="00AC16DC" w:rsidRPr="0020418B">
        <w:rPr>
          <w:rFonts w:ascii="Bookman Old Style" w:hAnsi="Bookman Old Style"/>
        </w:rPr>
        <w:t>investimento finanziario dello Stato a favore delle città per lo svolgimento dei compiti in materia di sicurezza urbana</w:t>
      </w:r>
      <w:r w:rsidR="00D533BB">
        <w:rPr>
          <w:rFonts w:ascii="Bookman Old Style" w:hAnsi="Bookman Old Style"/>
        </w:rPr>
        <w:t>.</w:t>
      </w:r>
    </w:p>
    <w:p w14:paraId="27586A55" w14:textId="41F1D3C0" w:rsidR="00FA37E7" w:rsidRDefault="000C5A73" w:rsidP="00761F06">
      <w:pPr>
        <w:jc w:val="both"/>
        <w:rPr>
          <w:rFonts w:ascii="Bookman Old Style" w:hAnsi="Bookman Old Style"/>
        </w:rPr>
      </w:pPr>
      <w:r w:rsidRPr="004F2FE7">
        <w:rPr>
          <w:rFonts w:ascii="Bookman Old Style" w:hAnsi="Bookman Old Style"/>
        </w:rPr>
        <w:t>Si ricorda che</w:t>
      </w:r>
      <w:r w:rsidR="0088302D" w:rsidRPr="004F2FE7">
        <w:rPr>
          <w:rFonts w:ascii="Bookman Old Style" w:hAnsi="Bookman Old Style"/>
        </w:rPr>
        <w:t xml:space="preserve">, prima dell’integrazione </w:t>
      </w:r>
      <w:r w:rsidR="00931D7C" w:rsidRPr="004F2FE7">
        <w:rPr>
          <w:rFonts w:ascii="Bookman Old Style" w:hAnsi="Bookman Old Style"/>
        </w:rPr>
        <w:t>i</w:t>
      </w:r>
      <w:r w:rsidR="0088302D" w:rsidRPr="004F2FE7">
        <w:rPr>
          <w:rFonts w:ascii="Bookman Old Style" w:hAnsi="Bookman Old Style"/>
        </w:rPr>
        <w:t>n commento,</w:t>
      </w:r>
      <w:r w:rsidRPr="004F2FE7">
        <w:rPr>
          <w:rFonts w:ascii="Bookman Old Style" w:hAnsi="Bookman Old Style"/>
        </w:rPr>
        <w:t xml:space="preserve"> </w:t>
      </w:r>
      <w:r w:rsidR="0088302D" w:rsidRPr="004F2FE7">
        <w:rPr>
          <w:rFonts w:ascii="Bookman Old Style" w:hAnsi="Bookman Old Style"/>
        </w:rPr>
        <w:t xml:space="preserve">le risorse annuali </w:t>
      </w:r>
      <w:r w:rsidR="00527186" w:rsidRPr="004F2FE7">
        <w:rPr>
          <w:rFonts w:ascii="Bookman Old Style" w:hAnsi="Bookman Old Style"/>
        </w:rPr>
        <w:t xml:space="preserve">del </w:t>
      </w:r>
      <w:r w:rsidR="00F124C6" w:rsidRPr="004F2FE7">
        <w:rPr>
          <w:rFonts w:ascii="Bookman Old Style" w:hAnsi="Bookman Old Style"/>
        </w:rPr>
        <w:t>F</w:t>
      </w:r>
      <w:r w:rsidR="00527186" w:rsidRPr="004F2FE7">
        <w:rPr>
          <w:rFonts w:ascii="Bookman Old Style" w:hAnsi="Bookman Old Style"/>
        </w:rPr>
        <w:t xml:space="preserve">ondo </w:t>
      </w:r>
      <w:r w:rsidR="0088302D" w:rsidRPr="004F2FE7">
        <w:rPr>
          <w:rFonts w:ascii="Bookman Old Style" w:hAnsi="Bookman Old Style"/>
        </w:rPr>
        <w:t xml:space="preserve">ammontavano a 25 milioni di euro, ripartiti su 44 Comuni destinatari tra Comuni capoluogo </w:t>
      </w:r>
      <w:r w:rsidR="00C20D8E" w:rsidRPr="004F2FE7">
        <w:rPr>
          <w:rFonts w:ascii="Bookman Old Style" w:hAnsi="Bookman Old Style"/>
        </w:rPr>
        <w:t xml:space="preserve">metropolitano e </w:t>
      </w:r>
      <w:r w:rsidR="00FA37E7" w:rsidRPr="004F2FE7">
        <w:rPr>
          <w:rFonts w:ascii="Bookman Old Style" w:hAnsi="Bookman Old Style"/>
        </w:rPr>
        <w:t xml:space="preserve">comuni con popolazione </w:t>
      </w:r>
      <w:r w:rsidR="00527186" w:rsidRPr="004F2FE7">
        <w:rPr>
          <w:rFonts w:ascii="Bookman Old Style" w:hAnsi="Bookman Old Style"/>
        </w:rPr>
        <w:t xml:space="preserve">compresa tra i 50.000 e i 99.99, e con riferimento a molteplici finalità: </w:t>
      </w:r>
      <w:r w:rsidR="00FA37E7" w:rsidRPr="00FA37E7">
        <w:rPr>
          <w:rFonts w:ascii="Bookman Old Style" w:hAnsi="Bookman Old Style"/>
        </w:rPr>
        <w:t>l’assunzione di personale della Polizia Locale a tempo determinato, ivi compresi i contratti di formazione lavoro</w:t>
      </w:r>
      <w:r w:rsidR="005D5CB9" w:rsidRPr="004F2FE7">
        <w:rPr>
          <w:rFonts w:ascii="Bookman Old Style" w:hAnsi="Bookman Old Style"/>
        </w:rPr>
        <w:t xml:space="preserve">; </w:t>
      </w:r>
      <w:r w:rsidR="00FA37E7" w:rsidRPr="00FA37E7">
        <w:rPr>
          <w:rFonts w:ascii="Bookman Old Style" w:hAnsi="Bookman Old Style"/>
        </w:rPr>
        <w:t xml:space="preserve"> </w:t>
      </w:r>
      <w:r w:rsidR="00527186" w:rsidRPr="004F2FE7">
        <w:rPr>
          <w:rFonts w:ascii="Bookman Old Style" w:hAnsi="Bookman Old Style"/>
        </w:rPr>
        <w:t xml:space="preserve"> </w:t>
      </w:r>
      <w:r w:rsidR="00FA37E7" w:rsidRPr="00FA37E7">
        <w:rPr>
          <w:rFonts w:ascii="Bookman Old Style" w:hAnsi="Bookman Old Style"/>
        </w:rPr>
        <w:t>acquisto e installazione di apparati tecnologici e di sistemi per il potenziamento/interconnessione delle sale operative</w:t>
      </w:r>
      <w:r w:rsidR="005D5CB9" w:rsidRPr="004F2FE7">
        <w:rPr>
          <w:rFonts w:ascii="Bookman Old Style" w:hAnsi="Bookman Old Style"/>
        </w:rPr>
        <w:t xml:space="preserve">; </w:t>
      </w:r>
      <w:r w:rsidR="00FA37E7" w:rsidRPr="00FA37E7">
        <w:rPr>
          <w:rFonts w:ascii="Bookman Old Style" w:hAnsi="Bookman Old Style"/>
        </w:rPr>
        <w:t>messa in sicurezza e riqualificazione delle aree degradate</w:t>
      </w:r>
      <w:r w:rsidR="005D5CB9" w:rsidRPr="004F2FE7">
        <w:rPr>
          <w:rFonts w:ascii="Bookman Old Style" w:hAnsi="Bookman Old Style"/>
        </w:rPr>
        <w:t xml:space="preserve">; </w:t>
      </w:r>
      <w:r w:rsidR="00FA37E7" w:rsidRPr="00FA37E7">
        <w:rPr>
          <w:rFonts w:ascii="Bookman Old Style" w:hAnsi="Bookman Old Style"/>
        </w:rPr>
        <w:t>iniziative di prevenzione e di contrasto all’abusivismo commerciale e alla vendita di prodotti contraffatti</w:t>
      </w:r>
      <w:r w:rsidR="005D5CB9" w:rsidRPr="004F2FE7">
        <w:rPr>
          <w:rFonts w:ascii="Bookman Old Style" w:hAnsi="Bookman Old Style"/>
        </w:rPr>
        <w:t>;</w:t>
      </w:r>
      <w:r w:rsidR="00B73E9E" w:rsidRPr="004F2FE7">
        <w:rPr>
          <w:rFonts w:ascii="Bookman Old Style" w:hAnsi="Bookman Old Style"/>
        </w:rPr>
        <w:t xml:space="preserve"> </w:t>
      </w:r>
      <w:r w:rsidR="00FA37E7" w:rsidRPr="00FA37E7">
        <w:rPr>
          <w:rFonts w:ascii="Bookman Old Style" w:hAnsi="Bookman Old Style"/>
        </w:rPr>
        <w:t>realizzazione, adeguamento, potenziamento o messa a norma delle camere di sicurezza e/o realizzazione o adeguamento dei sistemi di fotosegnalamento</w:t>
      </w:r>
      <w:r w:rsidR="00B73E9E" w:rsidRPr="004F2FE7">
        <w:rPr>
          <w:rFonts w:ascii="Bookman Old Style" w:hAnsi="Bookman Old Style"/>
        </w:rPr>
        <w:t xml:space="preserve">; </w:t>
      </w:r>
      <w:r w:rsidR="00FA37E7" w:rsidRPr="00FA37E7">
        <w:rPr>
          <w:rFonts w:ascii="Bookman Old Style" w:hAnsi="Bookman Old Style"/>
        </w:rPr>
        <w:t xml:space="preserve"> </w:t>
      </w:r>
      <w:r w:rsidR="00B73E9E" w:rsidRPr="004F2FE7">
        <w:rPr>
          <w:rFonts w:ascii="Bookman Old Style" w:hAnsi="Bookman Old Style"/>
        </w:rPr>
        <w:t>messa in sicurezza degli immobili abbandonati o sgomberati; contrasto ai fenomeni di disagio giovanile, dispersione scolastica e devianza minorile, con particolare riferimento al bullismo e al cyberbullismo, oltre che alla violenza giovanile e al fenomeno delle baby gang; la gestione dei minori stranieri non accompagnati, dei soggetti senza fissa dimora e in condizione di fragilità psicofisica nonché dei nuclei familiari in condizioni di particolare vulnerabilità sociale; i servizi di monitoraggio nelle zone a maggiore aggregazione giovanile per prevenire e contrastare il fenomeno della cd. “mala movida</w:t>
      </w:r>
      <w:r w:rsidR="00761F06">
        <w:rPr>
          <w:rFonts w:ascii="Bookman Old Style" w:hAnsi="Bookman Old Style"/>
        </w:rPr>
        <w:t>;</w:t>
      </w:r>
      <w:r w:rsidR="00761F06" w:rsidRPr="00761F06">
        <w:t xml:space="preserve"> </w:t>
      </w:r>
      <w:r w:rsidR="00761F06" w:rsidRPr="00761F06">
        <w:rPr>
          <w:rFonts w:ascii="Bookman Old Style" w:hAnsi="Bookman Old Style"/>
        </w:rPr>
        <w:t xml:space="preserve">i progetti di impegno civico (c.d. civic engagement), nonché l'installazione di </w:t>
      </w:r>
      <w:r w:rsidR="004D6B7A" w:rsidRPr="00761F06">
        <w:rPr>
          <w:rFonts w:ascii="Bookman Old Style" w:hAnsi="Bookman Old Style"/>
        </w:rPr>
        <w:t xml:space="preserve">sistemi </w:t>
      </w:r>
      <w:r w:rsidR="004D6B7A">
        <w:rPr>
          <w:rFonts w:ascii="Bookman Old Style" w:hAnsi="Bookman Old Style"/>
        </w:rPr>
        <w:t>di</w:t>
      </w:r>
      <w:r w:rsidR="00761F06" w:rsidRPr="00761F06">
        <w:rPr>
          <w:rFonts w:ascii="Bookman Old Style" w:hAnsi="Bookman Old Style"/>
        </w:rPr>
        <w:t xml:space="preserve"> videosorveglianza</w:t>
      </w:r>
      <w:r w:rsidR="00761F06">
        <w:rPr>
          <w:rFonts w:ascii="Bookman Old Style" w:hAnsi="Bookman Old Style"/>
        </w:rPr>
        <w:t xml:space="preserve">. </w:t>
      </w:r>
    </w:p>
    <w:p w14:paraId="2C39EB66" w14:textId="77777777" w:rsidR="00A1207D" w:rsidRPr="004F2FE7" w:rsidRDefault="00A1207D" w:rsidP="00761F06">
      <w:pPr>
        <w:jc w:val="both"/>
        <w:rPr>
          <w:rFonts w:ascii="Bookman Old Style" w:hAnsi="Bookman Old Style"/>
        </w:rPr>
      </w:pPr>
    </w:p>
    <w:p w14:paraId="76C6C20B" w14:textId="759725C2" w:rsidR="00761F06" w:rsidRDefault="00DD1006" w:rsidP="00FF1CBF">
      <w:pPr>
        <w:pStyle w:val="Paragrafoelenco"/>
        <w:numPr>
          <w:ilvl w:val="0"/>
          <w:numId w:val="26"/>
        </w:numPr>
        <w:ind w:left="714" w:hanging="357"/>
        <w:jc w:val="both"/>
        <w:rPr>
          <w:rFonts w:ascii="Bookman Old Style" w:hAnsi="Bookman Old Style"/>
          <w:b/>
          <w:bCs/>
          <w:color w:val="004E9A"/>
        </w:rPr>
      </w:pPr>
      <w:r>
        <w:rPr>
          <w:rFonts w:ascii="Bookman Old Style" w:hAnsi="Bookman Old Style"/>
          <w:b/>
          <w:bCs/>
          <w:color w:val="004E9A"/>
        </w:rPr>
        <w:lastRenderedPageBreak/>
        <w:t>U</w:t>
      </w:r>
      <w:r w:rsidR="00761F06" w:rsidRPr="00761F06">
        <w:rPr>
          <w:rFonts w:ascii="Bookman Old Style" w:hAnsi="Bookman Old Style"/>
          <w:b/>
          <w:bCs/>
          <w:color w:val="004E9A"/>
        </w:rPr>
        <w:t xml:space="preserve">tilizzo </w:t>
      </w:r>
      <w:r>
        <w:rPr>
          <w:rFonts w:ascii="Bookman Old Style" w:hAnsi="Bookman Old Style"/>
          <w:b/>
          <w:bCs/>
          <w:color w:val="004E9A"/>
        </w:rPr>
        <w:t xml:space="preserve">delle </w:t>
      </w:r>
      <w:r w:rsidR="00761F06" w:rsidRPr="00761F06">
        <w:rPr>
          <w:rFonts w:ascii="Bookman Old Style" w:hAnsi="Bookman Old Style"/>
          <w:b/>
          <w:bCs/>
          <w:color w:val="004E9A"/>
        </w:rPr>
        <w:t>risorse Fondo sicurezza urbana per</w:t>
      </w:r>
      <w:r>
        <w:rPr>
          <w:rFonts w:ascii="Bookman Old Style" w:hAnsi="Bookman Old Style"/>
          <w:b/>
          <w:bCs/>
          <w:color w:val="004E9A"/>
        </w:rPr>
        <w:t xml:space="preserve"> il</w:t>
      </w:r>
      <w:r w:rsidR="00761F06" w:rsidRPr="00761F06">
        <w:rPr>
          <w:rFonts w:ascii="Bookman Old Style" w:hAnsi="Bookman Old Style"/>
          <w:b/>
          <w:bCs/>
          <w:color w:val="004E9A"/>
        </w:rPr>
        <w:t xml:space="preserve"> lavoro straordinario </w:t>
      </w:r>
      <w:r>
        <w:rPr>
          <w:rFonts w:ascii="Bookman Old Style" w:hAnsi="Bookman Old Style"/>
          <w:b/>
          <w:bCs/>
          <w:color w:val="004E9A"/>
        </w:rPr>
        <w:t xml:space="preserve">della </w:t>
      </w:r>
      <w:r w:rsidR="00761F06" w:rsidRPr="00761F06">
        <w:rPr>
          <w:rFonts w:ascii="Bookman Old Style" w:hAnsi="Bookman Old Style"/>
          <w:b/>
          <w:bCs/>
          <w:color w:val="004E9A"/>
        </w:rPr>
        <w:t>Polizia Locale – art. 6 comma 3</w:t>
      </w:r>
    </w:p>
    <w:p w14:paraId="5DBE2DB7" w14:textId="77777777" w:rsidR="00FF1CBF" w:rsidRPr="00761F06" w:rsidRDefault="00FF1CBF" w:rsidP="00FF1CBF">
      <w:pPr>
        <w:pStyle w:val="Paragrafoelenco"/>
        <w:ind w:left="714"/>
        <w:jc w:val="both"/>
        <w:rPr>
          <w:rFonts w:ascii="Bookman Old Style" w:hAnsi="Bookman Old Style"/>
          <w:b/>
          <w:bCs/>
          <w:color w:val="004E9A"/>
        </w:rPr>
      </w:pPr>
    </w:p>
    <w:p w14:paraId="2EF66152" w14:textId="094916A7" w:rsidR="00B00421" w:rsidRDefault="005A1472" w:rsidP="00DD1006">
      <w:pPr>
        <w:jc w:val="both"/>
        <w:rPr>
          <w:rFonts w:ascii="Bookman Old Style" w:hAnsi="Bookman Old Style"/>
        </w:rPr>
      </w:pPr>
      <w:r w:rsidRPr="003738C0">
        <w:rPr>
          <w:rFonts w:ascii="Bookman Old Style" w:hAnsi="Bookman Old Style"/>
        </w:rPr>
        <w:t>Il</w:t>
      </w:r>
      <w:r w:rsidR="00B00421" w:rsidRPr="003738C0">
        <w:rPr>
          <w:rFonts w:ascii="Bookman Old Style" w:hAnsi="Bookman Old Style"/>
        </w:rPr>
        <w:t xml:space="preserve"> comma 3</w:t>
      </w:r>
      <w:r w:rsidR="00B00421" w:rsidRPr="004F2FE7">
        <w:rPr>
          <w:rFonts w:ascii="Bookman Old Style" w:hAnsi="Bookman Old Style"/>
          <w:b/>
          <w:bCs/>
        </w:rPr>
        <w:t xml:space="preserve"> </w:t>
      </w:r>
      <w:r w:rsidRPr="004F2FE7">
        <w:rPr>
          <w:rFonts w:ascii="Bookman Old Style" w:hAnsi="Bookman Old Style"/>
          <w:b/>
          <w:bCs/>
        </w:rPr>
        <w:t>estende</w:t>
      </w:r>
      <w:r w:rsidR="00AF771E" w:rsidRPr="004F2FE7">
        <w:rPr>
          <w:rFonts w:ascii="Bookman Old Style" w:hAnsi="Bookman Old Style"/>
          <w:b/>
          <w:bCs/>
        </w:rPr>
        <w:t xml:space="preserve"> le possibilità di utilizzo </w:t>
      </w:r>
      <w:r w:rsidR="00AF771E" w:rsidRPr="004F2FE7">
        <w:rPr>
          <w:rFonts w:ascii="Bookman Old Style" w:hAnsi="Bookman Old Style"/>
        </w:rPr>
        <w:t xml:space="preserve">delle risorse </w:t>
      </w:r>
      <w:r w:rsidR="0010442E">
        <w:rPr>
          <w:rFonts w:ascii="Bookman Old Style" w:hAnsi="Bookman Old Style"/>
        </w:rPr>
        <w:t xml:space="preserve">del Fondo sicurezza urbana </w:t>
      </w:r>
      <w:r w:rsidR="00AF771E" w:rsidRPr="004F2FE7">
        <w:rPr>
          <w:rFonts w:ascii="Bookman Old Style" w:hAnsi="Bookman Old Style"/>
        </w:rPr>
        <w:t>anche alla</w:t>
      </w:r>
      <w:r w:rsidR="00AF771E" w:rsidRPr="004F2FE7">
        <w:rPr>
          <w:rFonts w:ascii="Bookman Old Style" w:hAnsi="Bookman Old Style"/>
          <w:b/>
          <w:bCs/>
        </w:rPr>
        <w:t xml:space="preserve"> </w:t>
      </w:r>
      <w:r w:rsidR="00AF771E" w:rsidRPr="004F2FE7">
        <w:rPr>
          <w:rFonts w:ascii="Bookman Old Style" w:hAnsi="Bookman Old Style"/>
        </w:rPr>
        <w:t xml:space="preserve">corresponsione dei compensi </w:t>
      </w:r>
      <w:r w:rsidR="00AF771E" w:rsidRPr="004F2FE7">
        <w:rPr>
          <w:rFonts w:ascii="Bookman Old Style" w:hAnsi="Bookman Old Style"/>
          <w:b/>
          <w:bCs/>
        </w:rPr>
        <w:t>per</w:t>
      </w:r>
      <w:r w:rsidR="00AF771E" w:rsidRPr="004F2FE7">
        <w:rPr>
          <w:rFonts w:ascii="Bookman Old Style" w:hAnsi="Bookman Old Style"/>
        </w:rPr>
        <w:t xml:space="preserve"> </w:t>
      </w:r>
      <w:r w:rsidR="00AF771E" w:rsidRPr="004F2FE7">
        <w:rPr>
          <w:rFonts w:ascii="Bookman Old Style" w:hAnsi="Bookman Old Style"/>
          <w:b/>
          <w:bCs/>
        </w:rPr>
        <w:t xml:space="preserve">lavoro straordinario svolto dal personale della </w:t>
      </w:r>
      <w:r w:rsidR="00822149" w:rsidRPr="004F2FE7">
        <w:rPr>
          <w:rFonts w:ascii="Bookman Old Style" w:hAnsi="Bookman Old Style"/>
          <w:b/>
          <w:bCs/>
        </w:rPr>
        <w:t>P</w:t>
      </w:r>
      <w:r w:rsidR="00AF771E" w:rsidRPr="004F2FE7">
        <w:rPr>
          <w:rFonts w:ascii="Bookman Old Style" w:hAnsi="Bookman Old Style"/>
          <w:b/>
          <w:bCs/>
        </w:rPr>
        <w:t xml:space="preserve">olizia </w:t>
      </w:r>
      <w:r w:rsidR="00822149" w:rsidRPr="004F2FE7">
        <w:rPr>
          <w:rFonts w:ascii="Bookman Old Style" w:hAnsi="Bookman Old Style"/>
          <w:b/>
          <w:bCs/>
        </w:rPr>
        <w:t>L</w:t>
      </w:r>
      <w:r w:rsidR="00AF771E" w:rsidRPr="004F2FE7">
        <w:rPr>
          <w:rFonts w:ascii="Bookman Old Style" w:hAnsi="Bookman Old Style"/>
          <w:b/>
          <w:bCs/>
        </w:rPr>
        <w:t>ocale</w:t>
      </w:r>
      <w:r w:rsidR="00822149" w:rsidRPr="004F2FE7">
        <w:rPr>
          <w:rFonts w:ascii="Bookman Old Style" w:hAnsi="Bookman Old Style"/>
          <w:b/>
          <w:bCs/>
        </w:rPr>
        <w:t xml:space="preserve">, in deroga </w:t>
      </w:r>
      <w:r w:rsidR="00822149" w:rsidRPr="004F2FE7">
        <w:rPr>
          <w:rFonts w:ascii="Bookman Old Style" w:hAnsi="Bookman Old Style"/>
        </w:rPr>
        <w:t>ai limiti di spesa per il lavoro straordinario stabiliti dalla legislazione vigente e dai contratti collettivi</w:t>
      </w:r>
      <w:r w:rsidR="003F29FE" w:rsidRPr="004F2FE7">
        <w:rPr>
          <w:rFonts w:ascii="Bookman Old Style" w:hAnsi="Bookman Old Style"/>
        </w:rPr>
        <w:t xml:space="preserve"> e </w:t>
      </w:r>
      <w:r w:rsidR="00822149" w:rsidRPr="004F2FE7">
        <w:rPr>
          <w:rFonts w:ascii="Bookman Old Style" w:hAnsi="Bookman Old Style"/>
        </w:rPr>
        <w:t xml:space="preserve">al vincolo di finanza pubblica </w:t>
      </w:r>
      <w:r w:rsidR="003F29FE" w:rsidRPr="004F2FE7">
        <w:rPr>
          <w:rFonts w:ascii="Bookman Old Style" w:hAnsi="Bookman Old Style"/>
        </w:rPr>
        <w:t>sul salario accessorio</w:t>
      </w:r>
      <w:r w:rsidR="00371860" w:rsidRPr="004F2FE7">
        <w:rPr>
          <w:rFonts w:ascii="Bookman Old Style" w:hAnsi="Bookman Old Style"/>
        </w:rPr>
        <w:t xml:space="preserve"> (</w:t>
      </w:r>
      <w:r w:rsidR="00822149" w:rsidRPr="004F2FE7">
        <w:rPr>
          <w:rFonts w:ascii="Bookman Old Style" w:hAnsi="Bookman Old Style"/>
        </w:rPr>
        <w:t xml:space="preserve">di cui all’articolo 23, comma 2, del </w:t>
      </w:r>
      <w:r w:rsidR="003F29FE" w:rsidRPr="004F2FE7">
        <w:rPr>
          <w:rFonts w:ascii="Bookman Old Style" w:hAnsi="Bookman Old Style"/>
        </w:rPr>
        <w:t>d.lgs. 75/2017</w:t>
      </w:r>
      <w:r w:rsidR="00371860" w:rsidRPr="004F2FE7">
        <w:rPr>
          <w:rFonts w:ascii="Bookman Old Style" w:hAnsi="Bookman Old Style"/>
        </w:rPr>
        <w:t>)</w:t>
      </w:r>
      <w:r w:rsidR="00931D7C" w:rsidRPr="004F2FE7">
        <w:rPr>
          <w:rFonts w:ascii="Bookman Old Style" w:hAnsi="Bookman Old Style"/>
        </w:rPr>
        <w:t xml:space="preserve">. </w:t>
      </w:r>
    </w:p>
    <w:p w14:paraId="511A81A9" w14:textId="77777777" w:rsidR="002B17F7" w:rsidRDefault="002B17F7" w:rsidP="00180ED0">
      <w:pPr>
        <w:spacing w:line="360" w:lineRule="auto"/>
        <w:jc w:val="both"/>
        <w:rPr>
          <w:rFonts w:ascii="Bookman Old Style" w:hAnsi="Bookman Old Style"/>
        </w:rPr>
      </w:pPr>
    </w:p>
    <w:p w14:paraId="7EDC2ABB" w14:textId="1F10DF87" w:rsidR="002B17F7" w:rsidRPr="002B17F7" w:rsidRDefault="002B17F7" w:rsidP="002B17F7">
      <w:pPr>
        <w:pStyle w:val="Paragrafoelenco"/>
        <w:numPr>
          <w:ilvl w:val="0"/>
          <w:numId w:val="26"/>
        </w:numPr>
        <w:ind w:left="714" w:hanging="357"/>
        <w:jc w:val="both"/>
        <w:rPr>
          <w:rFonts w:ascii="Bookman Old Style" w:hAnsi="Bookman Old Style"/>
          <w:b/>
          <w:bCs/>
          <w:color w:val="004E9A"/>
        </w:rPr>
      </w:pPr>
      <w:r w:rsidRPr="002B17F7">
        <w:rPr>
          <w:rFonts w:ascii="Bookman Old Style" w:hAnsi="Bookman Old Style"/>
          <w:b/>
          <w:bCs/>
          <w:color w:val="004E9A"/>
        </w:rPr>
        <w:t xml:space="preserve">Utilizzo dell’imposta di soggiorno per assunzioni a tempo determinato e lavoro straordinario della Polizia Locale – art. 6 comma 4 </w:t>
      </w:r>
    </w:p>
    <w:p w14:paraId="249104B9" w14:textId="77777777" w:rsidR="002B17F7" w:rsidRDefault="002B17F7" w:rsidP="00180ED0">
      <w:pPr>
        <w:spacing w:line="360" w:lineRule="auto"/>
        <w:jc w:val="both"/>
        <w:rPr>
          <w:rFonts w:ascii="Bookman Old Style" w:hAnsi="Bookman Old Style"/>
        </w:rPr>
      </w:pPr>
    </w:p>
    <w:p w14:paraId="1A0A51F3" w14:textId="1A0F1EBA" w:rsidR="00513CA9" w:rsidRPr="004F2FE7" w:rsidRDefault="00AE3787" w:rsidP="005F332B">
      <w:pPr>
        <w:jc w:val="both"/>
        <w:rPr>
          <w:rFonts w:ascii="Bookman Old Style" w:hAnsi="Bookman Old Style"/>
        </w:rPr>
      </w:pPr>
      <w:r w:rsidRPr="005F332B">
        <w:rPr>
          <w:rFonts w:ascii="Bookman Old Style" w:hAnsi="Bookman Old Style"/>
        </w:rPr>
        <w:t>Il comma 4</w:t>
      </w:r>
      <w:r w:rsidR="00CD60AC" w:rsidRPr="004F2FE7">
        <w:rPr>
          <w:rFonts w:ascii="Bookman Old Style" w:hAnsi="Bookman Old Style"/>
        </w:rPr>
        <w:t xml:space="preserve"> </w:t>
      </w:r>
      <w:r w:rsidR="00371860" w:rsidRPr="004F2FE7">
        <w:rPr>
          <w:rFonts w:ascii="Bookman Old Style" w:hAnsi="Bookman Old Style"/>
        </w:rPr>
        <w:t>amplia</w:t>
      </w:r>
      <w:r w:rsidR="00CD60AC" w:rsidRPr="004F2FE7">
        <w:rPr>
          <w:rFonts w:ascii="Bookman Old Style" w:hAnsi="Bookman Old Style"/>
        </w:rPr>
        <w:t xml:space="preserve"> le </w:t>
      </w:r>
      <w:r w:rsidR="00CD60AC" w:rsidRPr="004F2FE7">
        <w:rPr>
          <w:rFonts w:ascii="Bookman Old Style" w:hAnsi="Bookman Old Style"/>
          <w:b/>
          <w:bCs/>
        </w:rPr>
        <w:t xml:space="preserve">possibilità di utilizzo </w:t>
      </w:r>
      <w:r w:rsidR="00513CA9" w:rsidRPr="004F2FE7">
        <w:rPr>
          <w:rFonts w:ascii="Bookman Old Style" w:hAnsi="Bookman Old Style"/>
          <w:b/>
          <w:bCs/>
        </w:rPr>
        <w:t>del gettito derivante dall’imposta di soggiorno</w:t>
      </w:r>
      <w:r w:rsidR="00513CA9" w:rsidRPr="004F2FE7">
        <w:rPr>
          <w:rFonts w:ascii="Bookman Old Style" w:hAnsi="Bookman Old Style"/>
        </w:rPr>
        <w:t xml:space="preserve"> </w:t>
      </w:r>
      <w:r w:rsidR="00180ED0" w:rsidRPr="004F2FE7">
        <w:rPr>
          <w:rFonts w:ascii="Bookman Old Style" w:hAnsi="Bookman Old Style"/>
        </w:rPr>
        <w:t xml:space="preserve">– di cui all’art.4 comma 1 del d.lgs. 23/2011 - </w:t>
      </w:r>
      <w:r w:rsidR="00513CA9" w:rsidRPr="004F2FE7">
        <w:rPr>
          <w:rFonts w:ascii="Bookman Old Style" w:hAnsi="Bookman Old Style"/>
        </w:rPr>
        <w:t>anche al finanziamento di iniziative in materia di sicurezza urbana da parte dei comuni</w:t>
      </w:r>
      <w:r w:rsidR="00180ED0" w:rsidRPr="004F2FE7">
        <w:rPr>
          <w:rFonts w:ascii="Bookman Old Style" w:hAnsi="Bookman Old Style"/>
        </w:rPr>
        <w:t xml:space="preserve">, compresa </w:t>
      </w:r>
      <w:r w:rsidR="00180ED0" w:rsidRPr="00980A10">
        <w:rPr>
          <w:rFonts w:ascii="Bookman Old Style" w:hAnsi="Bookman Old Style"/>
          <w:b/>
          <w:bCs/>
        </w:rPr>
        <w:t xml:space="preserve">l’assunzione a tempo determinato di personale della </w:t>
      </w:r>
      <w:r w:rsidR="00803FC3" w:rsidRPr="00980A10">
        <w:rPr>
          <w:rFonts w:ascii="Bookman Old Style" w:hAnsi="Bookman Old Style"/>
          <w:b/>
          <w:bCs/>
        </w:rPr>
        <w:t>P</w:t>
      </w:r>
      <w:r w:rsidR="00180ED0" w:rsidRPr="00980A10">
        <w:rPr>
          <w:rFonts w:ascii="Bookman Old Style" w:hAnsi="Bookman Old Style"/>
          <w:b/>
          <w:bCs/>
        </w:rPr>
        <w:t xml:space="preserve">olizia </w:t>
      </w:r>
      <w:r w:rsidR="00803FC3" w:rsidRPr="00980A10">
        <w:rPr>
          <w:rFonts w:ascii="Bookman Old Style" w:hAnsi="Bookman Old Style"/>
          <w:b/>
          <w:bCs/>
        </w:rPr>
        <w:t>L</w:t>
      </w:r>
      <w:r w:rsidR="00180ED0" w:rsidRPr="00980A10">
        <w:rPr>
          <w:rFonts w:ascii="Bookman Old Style" w:hAnsi="Bookman Old Style"/>
          <w:b/>
          <w:bCs/>
        </w:rPr>
        <w:t xml:space="preserve">ocale e la corresponsione dei compensi relativi alle prestazioni di lavoro straordinario </w:t>
      </w:r>
      <w:r w:rsidR="00180ED0" w:rsidRPr="004F2FE7">
        <w:rPr>
          <w:rFonts w:ascii="Bookman Old Style" w:hAnsi="Bookman Old Style"/>
        </w:rPr>
        <w:t>anche in deroga</w:t>
      </w:r>
      <w:r w:rsidR="00A96123" w:rsidRPr="004F2FE7">
        <w:rPr>
          <w:rFonts w:ascii="Bookman Old Style" w:hAnsi="Bookman Old Style"/>
        </w:rPr>
        <w:t xml:space="preserve"> al tetto sul salario accessorio e </w:t>
      </w:r>
      <w:r w:rsidR="000E57AE" w:rsidRPr="004F2FE7">
        <w:rPr>
          <w:rFonts w:ascii="Bookman Old Style" w:hAnsi="Bookman Old Style"/>
        </w:rPr>
        <w:t xml:space="preserve">ai vincoli di finanza pubblica che </w:t>
      </w:r>
      <w:r w:rsidR="00803FC3" w:rsidRPr="004F2FE7">
        <w:rPr>
          <w:rFonts w:ascii="Bookman Old Style" w:hAnsi="Bookman Old Style"/>
        </w:rPr>
        <w:t>i</w:t>
      </w:r>
      <w:r w:rsidR="000E57AE" w:rsidRPr="004F2FE7">
        <w:rPr>
          <w:rFonts w:ascii="Bookman Old Style" w:hAnsi="Bookman Old Style"/>
        </w:rPr>
        <w:t>mpongono agli enti locali il contenimento della spesa complessiva di personale entro determinati parametri di sostenibilità finanziari</w:t>
      </w:r>
      <w:r w:rsidR="00803FC3" w:rsidRPr="004F2FE7">
        <w:rPr>
          <w:rFonts w:ascii="Bookman Old Style" w:hAnsi="Bookman Old Style"/>
        </w:rPr>
        <w:t>a</w:t>
      </w:r>
      <w:r w:rsidR="000E57AE" w:rsidRPr="004F2FE7">
        <w:rPr>
          <w:rFonts w:ascii="Bookman Old Style" w:hAnsi="Bookman Old Style"/>
        </w:rPr>
        <w:t xml:space="preserve"> </w:t>
      </w:r>
      <w:r w:rsidR="00803FC3" w:rsidRPr="004F2FE7">
        <w:rPr>
          <w:rFonts w:ascii="Bookman Old Style" w:hAnsi="Bookman Old Style"/>
        </w:rPr>
        <w:t>(</w:t>
      </w:r>
      <w:r w:rsidR="000E57AE" w:rsidRPr="004F2FE7">
        <w:rPr>
          <w:rFonts w:ascii="Bookman Old Style" w:hAnsi="Bookman Old Style"/>
        </w:rPr>
        <w:t>di cu</w:t>
      </w:r>
      <w:r w:rsidR="00803FC3" w:rsidRPr="004F2FE7">
        <w:rPr>
          <w:rFonts w:ascii="Bookman Old Style" w:hAnsi="Bookman Old Style"/>
        </w:rPr>
        <w:t>i all’art.</w:t>
      </w:r>
      <w:r w:rsidR="00886876" w:rsidRPr="004F2FE7">
        <w:rPr>
          <w:rFonts w:ascii="Bookman Old Style" w:hAnsi="Bookman Old Style"/>
        </w:rPr>
        <w:t xml:space="preserve"> 1, commi 557, 557-quater e 562, L. 296/2006</w:t>
      </w:r>
      <w:r w:rsidR="00803FC3" w:rsidRPr="004F2FE7">
        <w:rPr>
          <w:rFonts w:ascii="Bookman Old Style" w:hAnsi="Bookman Old Style"/>
        </w:rPr>
        <w:t>)</w:t>
      </w:r>
    </w:p>
    <w:p w14:paraId="4A6A3421" w14:textId="1DE162B6" w:rsidR="00485010" w:rsidRPr="004F2FE7" w:rsidRDefault="00D4777F" w:rsidP="00C05649">
      <w:pPr>
        <w:jc w:val="both"/>
        <w:rPr>
          <w:rFonts w:ascii="Bookman Old Style" w:hAnsi="Bookman Old Style"/>
        </w:rPr>
      </w:pPr>
      <w:r w:rsidRPr="004F2FE7">
        <w:rPr>
          <w:rFonts w:ascii="Bookman Old Style" w:hAnsi="Bookman Old Style"/>
        </w:rPr>
        <w:t>Le assunzioni a tempo deter</w:t>
      </w:r>
      <w:r w:rsidR="00053206" w:rsidRPr="004F2FE7">
        <w:rPr>
          <w:rFonts w:ascii="Bookman Old Style" w:hAnsi="Bookman Old Style"/>
        </w:rPr>
        <w:t xml:space="preserve">minato sono effettuate in deroga </w:t>
      </w:r>
      <w:r w:rsidR="00B96328" w:rsidRPr="004F2FE7">
        <w:rPr>
          <w:rFonts w:ascii="Bookman Old Style" w:hAnsi="Bookman Old Style"/>
        </w:rPr>
        <w:t>ai tetti ordinari previsti dalla normativa sul contenimento della spesa per il lavoro flessibile</w:t>
      </w:r>
      <w:r w:rsidR="007A7CEB" w:rsidRPr="004F2FE7">
        <w:rPr>
          <w:rFonts w:ascii="Bookman Old Style" w:hAnsi="Bookman Old Style"/>
        </w:rPr>
        <w:t>, ai vincoli per enti in dissesto o riequilibrio finanziario</w:t>
      </w:r>
      <w:r w:rsidR="00C04382" w:rsidRPr="004F2FE7">
        <w:rPr>
          <w:rFonts w:ascii="Bookman Old Style" w:hAnsi="Bookman Old Style"/>
        </w:rPr>
        <w:t xml:space="preserve"> e la relativa spesa </w:t>
      </w:r>
      <w:r w:rsidR="00C04382" w:rsidRPr="004F2FE7">
        <w:rPr>
          <w:rFonts w:ascii="Bookman Old Style" w:hAnsi="Bookman Old Style"/>
          <w:b/>
          <w:bCs/>
        </w:rPr>
        <w:t>non è computata</w:t>
      </w:r>
      <w:r w:rsidR="00C04382" w:rsidRPr="004F2FE7">
        <w:rPr>
          <w:rFonts w:ascii="Bookman Old Style" w:hAnsi="Bookman Old Style"/>
        </w:rPr>
        <w:t xml:space="preserve"> ai fini della determinazione della capacità assunzionale prevista dall’art. 33, comma 2, del D.L. 34/2019</w:t>
      </w:r>
      <w:r w:rsidR="00654AFF" w:rsidRPr="004F2FE7">
        <w:rPr>
          <w:rFonts w:ascii="Bookman Old Style" w:hAnsi="Bookman Old Style"/>
        </w:rPr>
        <w:t xml:space="preserve"> ( che ha riformato il sistema di calcolo della capacità assunzionale degli enti locali, basandolo sul rapporto tra spesa di personale ed entrate correnti.) </w:t>
      </w:r>
      <w:r w:rsidR="00257701">
        <w:rPr>
          <w:rFonts w:ascii="Bookman Old Style" w:hAnsi="Bookman Old Style"/>
        </w:rPr>
        <w:t xml:space="preserve"> </w:t>
      </w:r>
      <w:r w:rsidR="00485010" w:rsidRPr="004F2FE7">
        <w:rPr>
          <w:rFonts w:ascii="Bookman Old Style" w:hAnsi="Bookman Old Style"/>
        </w:rPr>
        <w:t>La spesa sostenuta quindi</w:t>
      </w:r>
      <w:r w:rsidR="0099518E">
        <w:rPr>
          <w:rFonts w:ascii="Bookman Old Style" w:hAnsi="Bookman Old Style"/>
        </w:rPr>
        <w:t>:</w:t>
      </w:r>
      <w:r w:rsidR="00C05649">
        <w:rPr>
          <w:rFonts w:ascii="Bookman Old Style" w:hAnsi="Bookman Old Style"/>
        </w:rPr>
        <w:t xml:space="preserve"> </w:t>
      </w:r>
      <w:r w:rsidR="00485010" w:rsidRPr="004F2FE7">
        <w:rPr>
          <w:rFonts w:ascii="Bookman Old Style" w:hAnsi="Bookman Old Style"/>
        </w:rPr>
        <w:t>non rileva nel calcolo della capacità assunzionale;</w:t>
      </w:r>
      <w:r w:rsidR="00C05649">
        <w:rPr>
          <w:rFonts w:ascii="Bookman Old Style" w:hAnsi="Bookman Old Style"/>
        </w:rPr>
        <w:t xml:space="preserve"> </w:t>
      </w:r>
      <w:r w:rsidR="00485010" w:rsidRPr="004F2FE7">
        <w:rPr>
          <w:rFonts w:ascii="Bookman Old Style" w:hAnsi="Bookman Old Style"/>
        </w:rPr>
        <w:t>non incide sugli spazi per future assunzioni a tempo indeterminato;</w:t>
      </w:r>
      <w:r w:rsidR="00C05649">
        <w:rPr>
          <w:rFonts w:ascii="Bookman Old Style" w:hAnsi="Bookman Old Style"/>
        </w:rPr>
        <w:t xml:space="preserve"> </w:t>
      </w:r>
      <w:r w:rsidR="00485010" w:rsidRPr="004F2FE7">
        <w:rPr>
          <w:rFonts w:ascii="Bookman Old Style" w:hAnsi="Bookman Old Style"/>
        </w:rPr>
        <w:t>non altera il rapporto spesa di personale/entrate correnti.</w:t>
      </w:r>
    </w:p>
    <w:p w14:paraId="24264008" w14:textId="77777777" w:rsidR="00905905" w:rsidRDefault="00905905" w:rsidP="00905905">
      <w:pPr>
        <w:spacing w:line="360" w:lineRule="auto"/>
        <w:jc w:val="both"/>
        <w:rPr>
          <w:rFonts w:ascii="Bookman Old Style" w:hAnsi="Bookman Old Style"/>
        </w:rPr>
      </w:pPr>
    </w:p>
    <w:p w14:paraId="1395F46E" w14:textId="634AC5A2" w:rsidR="0029116B" w:rsidRPr="00B72175" w:rsidRDefault="0029116B" w:rsidP="00064E16">
      <w:pPr>
        <w:jc w:val="both"/>
        <w:rPr>
          <w:rFonts w:ascii="Bookman Old Style" w:hAnsi="Bookman Old Style"/>
        </w:rPr>
      </w:pPr>
      <w:r w:rsidRPr="00B72175">
        <w:rPr>
          <w:rFonts w:ascii="Bookman Old Style" w:hAnsi="Bookman Old Style"/>
          <w:b/>
          <w:bCs/>
        </w:rPr>
        <w:t>Il quinto e il sesto comma</w:t>
      </w:r>
      <w:r w:rsidRPr="00B72175">
        <w:rPr>
          <w:rFonts w:ascii="Bookman Old Style" w:hAnsi="Bookman Old Style"/>
        </w:rPr>
        <w:t xml:space="preserve"> introducono due importanti previsioni da tempo richieste dall’ANCI per consentire il rafforzamento dei servizi di controllo e sicurezza statale.</w:t>
      </w:r>
    </w:p>
    <w:p w14:paraId="631E10E2" w14:textId="77777777" w:rsidR="0029116B" w:rsidRDefault="0029116B" w:rsidP="00905905">
      <w:pPr>
        <w:spacing w:line="360" w:lineRule="auto"/>
        <w:jc w:val="both"/>
        <w:rPr>
          <w:rFonts w:ascii="Bookman Old Style" w:hAnsi="Bookman Old Style"/>
        </w:rPr>
      </w:pPr>
    </w:p>
    <w:p w14:paraId="4BADB1B8" w14:textId="15DF9247" w:rsidR="00980A10" w:rsidRPr="002B17F7" w:rsidRDefault="00980A10" w:rsidP="00980A10">
      <w:pPr>
        <w:pStyle w:val="Paragrafoelenco"/>
        <w:numPr>
          <w:ilvl w:val="0"/>
          <w:numId w:val="26"/>
        </w:numPr>
        <w:ind w:left="714" w:hanging="357"/>
        <w:jc w:val="both"/>
        <w:rPr>
          <w:rFonts w:ascii="Bookman Old Style" w:hAnsi="Bookman Old Style"/>
          <w:b/>
          <w:bCs/>
          <w:color w:val="004E9A"/>
        </w:rPr>
      </w:pPr>
      <w:r>
        <w:rPr>
          <w:rFonts w:ascii="Bookman Old Style" w:hAnsi="Bookman Old Style"/>
          <w:b/>
          <w:bCs/>
          <w:color w:val="004E9A"/>
        </w:rPr>
        <w:t>Potenziamento dei turni e degli straordinari del personale della Polizia Locale</w:t>
      </w:r>
      <w:r w:rsidRPr="002B17F7">
        <w:rPr>
          <w:rFonts w:ascii="Bookman Old Style" w:hAnsi="Bookman Old Style"/>
          <w:b/>
          <w:bCs/>
          <w:color w:val="004E9A"/>
        </w:rPr>
        <w:t xml:space="preserve"> – art. 6 comma </w:t>
      </w:r>
      <w:r>
        <w:rPr>
          <w:rFonts w:ascii="Bookman Old Style" w:hAnsi="Bookman Old Style"/>
          <w:b/>
          <w:bCs/>
          <w:color w:val="004E9A"/>
        </w:rPr>
        <w:t>5</w:t>
      </w:r>
    </w:p>
    <w:p w14:paraId="3C131EE5" w14:textId="77777777" w:rsidR="0029116B" w:rsidRDefault="0029116B" w:rsidP="0029116B">
      <w:pPr>
        <w:spacing w:line="360" w:lineRule="auto"/>
        <w:jc w:val="both"/>
        <w:rPr>
          <w:rFonts w:ascii="Bookman Old Style" w:hAnsi="Bookman Old Style"/>
          <w:highlight w:val="yellow"/>
        </w:rPr>
      </w:pPr>
    </w:p>
    <w:p w14:paraId="17BEA04D" w14:textId="4A918180" w:rsidR="00980A10" w:rsidRPr="00B72175" w:rsidRDefault="000831F6" w:rsidP="00064E16">
      <w:pPr>
        <w:jc w:val="both"/>
        <w:rPr>
          <w:rFonts w:ascii="Bookman Old Style" w:hAnsi="Bookman Old Style"/>
        </w:rPr>
      </w:pPr>
      <w:r w:rsidRPr="00B72175">
        <w:rPr>
          <w:rFonts w:ascii="Bookman Old Style" w:hAnsi="Bookman Old Style"/>
        </w:rPr>
        <w:t>Si</w:t>
      </w:r>
      <w:r w:rsidR="0029116B" w:rsidRPr="00B72175">
        <w:rPr>
          <w:rFonts w:ascii="Bookman Old Style" w:hAnsi="Bookman Old Style"/>
        </w:rPr>
        <w:t xml:space="preserve"> prevede che gli incentivi monetari collegati a obiettivi di potenziamento dei servizi di controllo finalizzati alla sicurezza urbana e stradale erogati a valere sulla quota percentuale delle sanzioni amministrative per violazioni al codice della strada (art. 208, commi 4, lettera c), e 5-bis del Codice della Strada), possono essere destinati, nel medesimo esercizio finanziario, alla remunerazione di prestazioni di lavoro straordinario del personale della polizia locale, anche in deroga alle limitazioni stabilite dai contratti collettivi e all’articolo 23, comma 2,del D. Lgs. n. 75/2017. Si tratta di una previsione molto importante, utile a chiarire una volta per tutte che la destinazione dei proventi delle sanzioni al </w:t>
      </w:r>
      <w:r w:rsidR="00B72175">
        <w:rPr>
          <w:rFonts w:ascii="Bookman Old Style" w:hAnsi="Bookman Old Style"/>
        </w:rPr>
        <w:t>Codice della Strada</w:t>
      </w:r>
      <w:r w:rsidR="0029116B" w:rsidRPr="00B72175">
        <w:rPr>
          <w:rFonts w:ascii="Bookman Old Style" w:hAnsi="Bookman Old Style"/>
        </w:rPr>
        <w:t xml:space="preserve"> per incentivare il personale di vigilanza non va a sottrarre le risorse per i trattamenti economici accessori da altri impieghi, in quanto trattasi a pieno titolo di etero-finanziamento.</w:t>
      </w:r>
    </w:p>
    <w:p w14:paraId="3A1F0FAF" w14:textId="77777777" w:rsidR="00064E16" w:rsidRDefault="00064E16" w:rsidP="00064E16">
      <w:pPr>
        <w:jc w:val="both"/>
        <w:rPr>
          <w:rFonts w:ascii="Bookman Old Style" w:hAnsi="Bookman Old Style"/>
          <w:highlight w:val="yellow"/>
        </w:rPr>
      </w:pPr>
    </w:p>
    <w:p w14:paraId="7E0DDCEF" w14:textId="77777777" w:rsidR="00A1300A" w:rsidRDefault="00A1300A" w:rsidP="00064E16">
      <w:pPr>
        <w:jc w:val="both"/>
        <w:rPr>
          <w:rFonts w:ascii="Bookman Old Style" w:hAnsi="Bookman Old Style"/>
          <w:highlight w:val="yellow"/>
        </w:rPr>
      </w:pPr>
    </w:p>
    <w:p w14:paraId="0531F238" w14:textId="77777777" w:rsidR="00064E16" w:rsidRDefault="00064E16" w:rsidP="00064E16">
      <w:pPr>
        <w:jc w:val="both"/>
        <w:rPr>
          <w:rFonts w:ascii="Bookman Old Style" w:hAnsi="Bookman Old Style"/>
          <w:highlight w:val="yellow"/>
        </w:rPr>
      </w:pPr>
    </w:p>
    <w:p w14:paraId="1C5E3951" w14:textId="77777777" w:rsidR="00F531E8" w:rsidRDefault="00F531E8" w:rsidP="00064E16">
      <w:pPr>
        <w:jc w:val="both"/>
        <w:rPr>
          <w:rFonts w:ascii="Bookman Old Style" w:hAnsi="Bookman Old Style"/>
          <w:highlight w:val="yellow"/>
        </w:rPr>
      </w:pPr>
    </w:p>
    <w:p w14:paraId="7FCF712C" w14:textId="77777777" w:rsidR="00F531E8" w:rsidRDefault="00F531E8" w:rsidP="00064E16">
      <w:pPr>
        <w:jc w:val="both"/>
        <w:rPr>
          <w:rFonts w:ascii="Bookman Old Style" w:hAnsi="Bookman Old Style"/>
          <w:highlight w:val="yellow"/>
        </w:rPr>
      </w:pPr>
    </w:p>
    <w:p w14:paraId="3685154C" w14:textId="77777777" w:rsidR="002A2326" w:rsidRPr="0029116B" w:rsidRDefault="002A2326" w:rsidP="00064E16">
      <w:pPr>
        <w:jc w:val="both"/>
        <w:rPr>
          <w:rFonts w:ascii="Bookman Old Style" w:hAnsi="Bookman Old Style"/>
          <w:highlight w:val="yellow"/>
        </w:rPr>
      </w:pPr>
    </w:p>
    <w:p w14:paraId="167E3B52" w14:textId="1ACAB2B2" w:rsidR="00980A10" w:rsidRPr="00980A10" w:rsidRDefault="00980A10" w:rsidP="00980A10">
      <w:pPr>
        <w:pStyle w:val="Paragrafoelenco"/>
        <w:numPr>
          <w:ilvl w:val="0"/>
          <w:numId w:val="26"/>
        </w:numPr>
        <w:spacing w:line="360" w:lineRule="auto"/>
        <w:jc w:val="both"/>
        <w:rPr>
          <w:rFonts w:ascii="Bookman Old Style" w:hAnsi="Bookman Old Style"/>
          <w:b/>
          <w:bCs/>
          <w:color w:val="004E9A"/>
        </w:rPr>
      </w:pPr>
      <w:r w:rsidRPr="00980A10">
        <w:rPr>
          <w:rFonts w:ascii="Bookman Old Style" w:hAnsi="Bookman Old Style"/>
          <w:b/>
          <w:bCs/>
          <w:color w:val="004E9A"/>
        </w:rPr>
        <w:lastRenderedPageBreak/>
        <w:t>Assunzioni stagionali della Polizia locale – art. 6 comma 6</w:t>
      </w:r>
    </w:p>
    <w:p w14:paraId="3A86A7D1" w14:textId="3FA127F3" w:rsidR="00905905" w:rsidRPr="00B72175" w:rsidRDefault="000831F6" w:rsidP="000831F6">
      <w:pPr>
        <w:jc w:val="both"/>
        <w:rPr>
          <w:rFonts w:ascii="Bookman Old Style" w:hAnsi="Bookman Old Style"/>
        </w:rPr>
      </w:pPr>
      <w:r w:rsidRPr="00B72175">
        <w:rPr>
          <w:rFonts w:ascii="Bookman Old Style" w:hAnsi="Bookman Old Style"/>
        </w:rPr>
        <w:t>Viene disposto</w:t>
      </w:r>
      <w:r w:rsidR="00905905" w:rsidRPr="00B72175">
        <w:rPr>
          <w:rFonts w:ascii="Bookman Old Style" w:hAnsi="Bookman Old Style"/>
        </w:rPr>
        <w:t xml:space="preserve"> in modo inequivocabile che i </w:t>
      </w:r>
      <w:r w:rsidR="007E64CE" w:rsidRPr="00B72175">
        <w:rPr>
          <w:rFonts w:ascii="Bookman Old Style" w:hAnsi="Bookman Old Style"/>
        </w:rPr>
        <w:t>C</w:t>
      </w:r>
      <w:r w:rsidR="00905905" w:rsidRPr="00B72175">
        <w:rPr>
          <w:rFonts w:ascii="Bookman Old Style" w:hAnsi="Bookman Old Style"/>
        </w:rPr>
        <w:t>omuni possono utilizzare quota dei proventi del C</w:t>
      </w:r>
      <w:r w:rsidR="000873FC">
        <w:rPr>
          <w:rFonts w:ascii="Bookman Old Style" w:hAnsi="Bookman Old Style"/>
        </w:rPr>
        <w:t>odice della Strada</w:t>
      </w:r>
      <w:r w:rsidR="00905905" w:rsidRPr="00B72175">
        <w:rPr>
          <w:rFonts w:ascii="Bookman Old Style" w:hAnsi="Bookman Old Style"/>
        </w:rPr>
        <w:t xml:space="preserve"> per effettuare assunzioni a tempo determinato per esigenze stagionali in deroga alle limitazioni ordinariamente previste per </w:t>
      </w:r>
      <w:r w:rsidR="002A2326" w:rsidRPr="00B72175">
        <w:rPr>
          <w:rFonts w:ascii="Bookman Old Style" w:hAnsi="Bookman Old Style"/>
        </w:rPr>
        <w:t>le assunzioni</w:t>
      </w:r>
      <w:r w:rsidR="00905905" w:rsidRPr="00B72175">
        <w:rPr>
          <w:rFonts w:ascii="Bookman Old Style" w:hAnsi="Bookman Old Style"/>
        </w:rPr>
        <w:t xml:space="preserve"> a tempo determinato.</w:t>
      </w:r>
    </w:p>
    <w:p w14:paraId="5AE0BD23" w14:textId="7164A9E0" w:rsidR="00905905" w:rsidRPr="004F2FE7" w:rsidRDefault="00905905" w:rsidP="000831F6">
      <w:pPr>
        <w:jc w:val="both"/>
        <w:rPr>
          <w:rFonts w:ascii="Bookman Old Style" w:hAnsi="Bookman Old Style"/>
        </w:rPr>
      </w:pPr>
      <w:r w:rsidRPr="00B72175">
        <w:rPr>
          <w:rFonts w:ascii="Bookman Old Style" w:hAnsi="Bookman Old Style"/>
        </w:rPr>
        <w:t>Si tratta in sintesi di disposizioni derogatorie necessarie per rimuovere le aporie determinate dalla stratificazione normativa in materia di vincoli finanziari alla spesa di personale, ambito su cui l’ANCI da tempo chiede una complessiva semplificazione</w:t>
      </w:r>
      <w:r w:rsidR="00B72175">
        <w:rPr>
          <w:rFonts w:ascii="Bookman Old Style" w:hAnsi="Bookman Old Style"/>
        </w:rPr>
        <w:t>.</w:t>
      </w:r>
      <w:r w:rsidRPr="004F2FE7">
        <w:rPr>
          <w:rFonts w:ascii="Bookman Old Style" w:hAnsi="Bookman Old Style"/>
        </w:rPr>
        <w:t xml:space="preserve"> </w:t>
      </w:r>
    </w:p>
    <w:p w14:paraId="1C52AE33" w14:textId="77777777" w:rsidR="00905905" w:rsidRPr="004F2FE7" w:rsidRDefault="00905905" w:rsidP="00905905">
      <w:pPr>
        <w:spacing w:line="360" w:lineRule="auto"/>
        <w:jc w:val="both"/>
        <w:rPr>
          <w:rFonts w:ascii="Bookman Old Style" w:hAnsi="Bookman Old Style"/>
        </w:rPr>
      </w:pPr>
    </w:p>
    <w:p w14:paraId="7B0750FB" w14:textId="223DE941" w:rsidR="005F6F1F" w:rsidRPr="00EE0735" w:rsidRDefault="005F6F1F" w:rsidP="005F6F1F">
      <w:pPr>
        <w:pStyle w:val="Paragrafoelenco"/>
        <w:numPr>
          <w:ilvl w:val="0"/>
          <w:numId w:val="25"/>
        </w:numPr>
        <w:autoSpaceDE w:val="0"/>
        <w:autoSpaceDN w:val="0"/>
        <w:adjustRightInd w:val="0"/>
        <w:jc w:val="both"/>
        <w:rPr>
          <w:rFonts w:ascii="Bookman Old Style" w:hAnsi="Bookman Old Style"/>
          <w:b/>
          <w:bCs/>
          <w:color w:val="004E9A"/>
          <w:u w:val="single"/>
        </w:rPr>
      </w:pPr>
      <w:r w:rsidRPr="00EE0735">
        <w:rPr>
          <w:rFonts w:ascii="Bookman Old Style" w:hAnsi="Bookman Old Style"/>
          <w:b/>
          <w:bCs/>
          <w:color w:val="004E9A"/>
          <w:u w:val="single"/>
        </w:rPr>
        <w:t>Zone a vigilanza rafforzata, potenziamento del divieto di accesso ai centri urbani e previsione della possibilità di arresto in flagranza differita per i danneggiamenti in occasione di manifestazioni pubbliche– articolo 4</w:t>
      </w:r>
    </w:p>
    <w:p w14:paraId="1FB4E595" w14:textId="77777777" w:rsidR="005F6F1F" w:rsidRDefault="005F6F1F" w:rsidP="005F6F1F">
      <w:pPr>
        <w:autoSpaceDE w:val="0"/>
        <w:autoSpaceDN w:val="0"/>
        <w:adjustRightInd w:val="0"/>
        <w:jc w:val="both"/>
        <w:rPr>
          <w:rFonts w:ascii="Bookman Old Style" w:hAnsi="Bookman Old Style"/>
        </w:rPr>
      </w:pPr>
    </w:p>
    <w:p w14:paraId="2BD7C096" w14:textId="0A50269C" w:rsidR="00A9513C" w:rsidRDefault="005F6F1F" w:rsidP="005F6F1F">
      <w:pPr>
        <w:autoSpaceDE w:val="0"/>
        <w:autoSpaceDN w:val="0"/>
        <w:adjustRightInd w:val="0"/>
        <w:jc w:val="both"/>
        <w:rPr>
          <w:rFonts w:ascii="Bookman Old Style" w:hAnsi="Bookman Old Style"/>
        </w:rPr>
      </w:pPr>
      <w:r>
        <w:rPr>
          <w:rFonts w:ascii="Bookman Old Style" w:hAnsi="Bookman Old Style"/>
        </w:rPr>
        <w:t>La norma in commento</w:t>
      </w:r>
      <w:r w:rsidR="008F3E3A" w:rsidRPr="004F2FE7">
        <w:rPr>
          <w:rFonts w:ascii="Bookman Old Style" w:hAnsi="Bookman Old Style"/>
        </w:rPr>
        <w:t xml:space="preserve"> </w:t>
      </w:r>
      <w:r w:rsidR="001E3DA7" w:rsidRPr="004F2FE7">
        <w:rPr>
          <w:rFonts w:ascii="Bookman Old Style" w:hAnsi="Bookman Old Style"/>
        </w:rPr>
        <w:t>interviene sulle disposizioni introdotte dal D.L. 14/2017 conver</w:t>
      </w:r>
      <w:r w:rsidR="00993202" w:rsidRPr="004F2FE7">
        <w:rPr>
          <w:rFonts w:ascii="Bookman Old Style" w:hAnsi="Bookman Old Style"/>
        </w:rPr>
        <w:t>ti</w:t>
      </w:r>
      <w:r w:rsidR="001E3DA7" w:rsidRPr="004F2FE7">
        <w:rPr>
          <w:rFonts w:ascii="Bookman Old Style" w:hAnsi="Bookman Old Style"/>
        </w:rPr>
        <w:t>to con modificazioni nella L. 48/2017</w:t>
      </w:r>
      <w:r w:rsidR="00391D58" w:rsidRPr="004F2FE7">
        <w:rPr>
          <w:rFonts w:ascii="Bookman Old Style" w:hAnsi="Bookman Old Style"/>
        </w:rPr>
        <w:t xml:space="preserve">, estendendo la portata del provvedimento di </w:t>
      </w:r>
      <w:r w:rsidR="001215C7" w:rsidRPr="004F2FE7">
        <w:rPr>
          <w:rFonts w:ascii="Bookman Old Style" w:hAnsi="Bookman Old Style"/>
        </w:rPr>
        <w:t xml:space="preserve">allontanamento </w:t>
      </w:r>
      <w:r w:rsidR="001215C7">
        <w:rPr>
          <w:rFonts w:ascii="Bookman Old Style" w:hAnsi="Bookman Old Style"/>
        </w:rPr>
        <w:t>e</w:t>
      </w:r>
      <w:r w:rsidR="00391D58" w:rsidRPr="004F2FE7">
        <w:rPr>
          <w:rFonts w:ascii="Bookman Old Style" w:hAnsi="Bookman Old Style"/>
        </w:rPr>
        <w:t xml:space="preserve"> del divieto di accesso, c.d. Daspo Urbano</w:t>
      </w:r>
      <w:r w:rsidR="001215C7">
        <w:rPr>
          <w:rFonts w:ascii="Bookman Old Style" w:hAnsi="Bookman Old Style"/>
        </w:rPr>
        <w:t xml:space="preserve">, disposto dal Questore in caso di reiterate violazioni del provvedimento di allontanamento </w:t>
      </w:r>
      <w:r w:rsidR="00DC2D0B">
        <w:rPr>
          <w:rFonts w:ascii="Bookman Old Style" w:hAnsi="Bookman Old Style"/>
        </w:rPr>
        <w:t xml:space="preserve">( art. 9 e 10 del D.L. 14/2017). </w:t>
      </w:r>
    </w:p>
    <w:p w14:paraId="34829BD9" w14:textId="76DB5DC1" w:rsidR="00101912" w:rsidRDefault="00A55BAF" w:rsidP="00A55BAF">
      <w:pPr>
        <w:autoSpaceDE w:val="0"/>
        <w:autoSpaceDN w:val="0"/>
        <w:adjustRightInd w:val="0"/>
        <w:jc w:val="both"/>
        <w:rPr>
          <w:rFonts w:ascii="Bookman Old Style" w:hAnsi="Bookman Old Style"/>
        </w:rPr>
      </w:pPr>
      <w:r>
        <w:rPr>
          <w:rFonts w:ascii="Bookman Old Style" w:hAnsi="Bookman Old Style"/>
        </w:rPr>
        <w:t>Si ricorda che l’</w:t>
      </w:r>
      <w:r w:rsidR="00101912" w:rsidRPr="00101912">
        <w:rPr>
          <w:rFonts w:ascii="Bookman Old Style" w:hAnsi="Bookman Old Style"/>
        </w:rPr>
        <w:t xml:space="preserve">ordine di allontanamento </w:t>
      </w:r>
      <w:r>
        <w:rPr>
          <w:rFonts w:ascii="Bookman Old Style" w:hAnsi="Bookman Old Style"/>
        </w:rPr>
        <w:t>è disposto dall’organo accertatore</w:t>
      </w:r>
      <w:r w:rsidR="00101912" w:rsidRPr="00101912">
        <w:rPr>
          <w:rFonts w:ascii="Bookman Old Style" w:hAnsi="Bookman Old Style"/>
        </w:rPr>
        <w:t xml:space="preserve">, è </w:t>
      </w:r>
      <w:r w:rsidRPr="00101912">
        <w:rPr>
          <w:rFonts w:ascii="Bookman Old Style" w:hAnsi="Bookman Old Style"/>
        </w:rPr>
        <w:t xml:space="preserve">specificamente </w:t>
      </w:r>
      <w:r>
        <w:rPr>
          <w:rFonts w:ascii="Bookman Old Style" w:hAnsi="Bookman Old Style"/>
        </w:rPr>
        <w:t>motivato</w:t>
      </w:r>
      <w:r w:rsidR="00B224C5">
        <w:rPr>
          <w:rFonts w:ascii="Bookman Old Style" w:hAnsi="Bookman Old Style"/>
        </w:rPr>
        <w:t xml:space="preserve">, </w:t>
      </w:r>
      <w:r w:rsidR="00101912" w:rsidRPr="00101912">
        <w:rPr>
          <w:rFonts w:ascii="Bookman Old Style" w:hAnsi="Bookman Old Style"/>
        </w:rPr>
        <w:t>la sua efficacia cessa passate 48 ore dall’accertamento dei fatti</w:t>
      </w:r>
      <w:r w:rsidR="00B224C5">
        <w:rPr>
          <w:rFonts w:ascii="Bookman Old Style" w:hAnsi="Bookman Old Style"/>
        </w:rPr>
        <w:t xml:space="preserve"> e la sua violazione è soggetta </w:t>
      </w:r>
      <w:r w:rsidR="00DC2D0B">
        <w:rPr>
          <w:rFonts w:ascii="Bookman Old Style" w:hAnsi="Bookman Old Style"/>
        </w:rPr>
        <w:t>a</w:t>
      </w:r>
      <w:r w:rsidR="00B224C5">
        <w:rPr>
          <w:rFonts w:ascii="Bookman Old Style" w:hAnsi="Bookman Old Style"/>
        </w:rPr>
        <w:t xml:space="preserve"> sanzione amministrativa. </w:t>
      </w:r>
    </w:p>
    <w:p w14:paraId="63E8E63A" w14:textId="77777777" w:rsidR="005F6F1F" w:rsidRDefault="005F6F1F" w:rsidP="005F6F1F">
      <w:pPr>
        <w:autoSpaceDE w:val="0"/>
        <w:autoSpaceDN w:val="0"/>
        <w:adjustRightInd w:val="0"/>
        <w:jc w:val="both"/>
        <w:rPr>
          <w:rFonts w:ascii="Bookman Old Style" w:hAnsi="Bookman Old Style"/>
        </w:rPr>
      </w:pPr>
    </w:p>
    <w:p w14:paraId="1ECCB4B4" w14:textId="05A21965" w:rsidR="0086381C" w:rsidRPr="00B915EF" w:rsidRDefault="00DC156F" w:rsidP="00B915EF">
      <w:pPr>
        <w:pStyle w:val="Paragrafoelenco"/>
        <w:numPr>
          <w:ilvl w:val="0"/>
          <w:numId w:val="20"/>
        </w:numPr>
        <w:autoSpaceDE w:val="0"/>
        <w:autoSpaceDN w:val="0"/>
        <w:adjustRightInd w:val="0"/>
        <w:jc w:val="both"/>
        <w:rPr>
          <w:rFonts w:ascii="Bookman Old Style" w:hAnsi="Bookman Old Style"/>
        </w:rPr>
      </w:pPr>
      <w:r w:rsidRPr="00B915EF">
        <w:rPr>
          <w:rFonts w:ascii="Bookman Old Style" w:hAnsi="Bookman Old Style"/>
          <w:b/>
          <w:bCs/>
          <w:color w:val="004E9A"/>
        </w:rPr>
        <w:t xml:space="preserve">Estensione del </w:t>
      </w:r>
      <w:r w:rsidR="00A20051" w:rsidRPr="00B915EF">
        <w:rPr>
          <w:rFonts w:ascii="Bookman Old Style" w:hAnsi="Bookman Old Style"/>
          <w:b/>
          <w:bCs/>
          <w:color w:val="004E9A"/>
        </w:rPr>
        <w:t>provvedimento di allontanamento</w:t>
      </w:r>
      <w:r w:rsidR="00B915EF" w:rsidRPr="00B915EF">
        <w:rPr>
          <w:rFonts w:ascii="Bookman Old Style" w:hAnsi="Bookman Old Style"/>
          <w:b/>
          <w:bCs/>
          <w:color w:val="004E9A"/>
        </w:rPr>
        <w:t xml:space="preserve"> a chi tiene comportamenti violenti, minacciosi o insistentemente molesti</w:t>
      </w:r>
      <w:r w:rsidR="00B915EF">
        <w:rPr>
          <w:rFonts w:ascii="Bookman Old Style" w:hAnsi="Bookman Old Style"/>
          <w:b/>
          <w:bCs/>
          <w:color w:val="004E9A"/>
        </w:rPr>
        <w:t xml:space="preserve"> </w:t>
      </w:r>
      <w:r w:rsidR="00A20051" w:rsidRPr="00B915EF">
        <w:rPr>
          <w:rFonts w:ascii="Bookman Old Style" w:hAnsi="Bookman Old Style"/>
          <w:b/>
          <w:bCs/>
          <w:color w:val="004E9A"/>
        </w:rPr>
        <w:t>– art. 4 comma 1 lettera a) n.</w:t>
      </w:r>
      <w:r w:rsidR="001A77F2" w:rsidRPr="00B915EF">
        <w:rPr>
          <w:rFonts w:ascii="Bookman Old Style" w:hAnsi="Bookman Old Style"/>
          <w:b/>
          <w:bCs/>
          <w:color w:val="004E9A"/>
        </w:rPr>
        <w:t xml:space="preserve"> 1</w:t>
      </w:r>
      <w:r w:rsidR="00A20051" w:rsidRPr="00B915EF">
        <w:rPr>
          <w:rFonts w:ascii="Bookman Old Style" w:hAnsi="Bookman Old Style"/>
          <w:color w:val="004E9A"/>
        </w:rPr>
        <w:t xml:space="preserve"> </w:t>
      </w:r>
    </w:p>
    <w:p w14:paraId="4EC8F1B3" w14:textId="77777777" w:rsidR="0086381C" w:rsidRPr="0086381C" w:rsidRDefault="0086381C" w:rsidP="0086381C">
      <w:pPr>
        <w:autoSpaceDE w:val="0"/>
        <w:autoSpaceDN w:val="0"/>
        <w:adjustRightInd w:val="0"/>
        <w:spacing w:line="360" w:lineRule="auto"/>
        <w:jc w:val="both"/>
        <w:rPr>
          <w:rFonts w:ascii="Bookman Old Style" w:hAnsi="Bookman Old Style"/>
        </w:rPr>
      </w:pPr>
    </w:p>
    <w:p w14:paraId="75309EA2" w14:textId="5151EB9E" w:rsidR="00993202" w:rsidRDefault="0086381C" w:rsidP="00B915EF">
      <w:pPr>
        <w:autoSpaceDE w:val="0"/>
        <w:autoSpaceDN w:val="0"/>
        <w:adjustRightInd w:val="0"/>
        <w:jc w:val="both"/>
        <w:rPr>
          <w:rFonts w:ascii="Bookman Old Style" w:hAnsi="Bookman Old Style"/>
        </w:rPr>
      </w:pPr>
      <w:r w:rsidRPr="0086381C">
        <w:rPr>
          <w:rFonts w:ascii="Bookman Old Style" w:hAnsi="Bookman Old Style"/>
        </w:rPr>
        <w:t xml:space="preserve">La norma introduce la </w:t>
      </w:r>
      <w:r w:rsidR="00A20051" w:rsidRPr="0086381C">
        <w:rPr>
          <w:rFonts w:ascii="Bookman Old Style" w:hAnsi="Bookman Old Style"/>
        </w:rPr>
        <w:t>p</w:t>
      </w:r>
      <w:r w:rsidR="00993202" w:rsidRPr="0086381C">
        <w:rPr>
          <w:rFonts w:ascii="Bookman Old Style" w:hAnsi="Bookman Old Style"/>
        </w:rPr>
        <w:t>ossibilità di</w:t>
      </w:r>
      <w:r w:rsidR="00993202" w:rsidRPr="0086381C">
        <w:rPr>
          <w:rFonts w:ascii="Bookman Old Style" w:hAnsi="Bookman Old Style"/>
          <w:b/>
          <w:bCs/>
        </w:rPr>
        <w:t xml:space="preserve"> adozione del provvedimento di allontanamento</w:t>
      </w:r>
      <w:r w:rsidR="00993202" w:rsidRPr="0086381C">
        <w:rPr>
          <w:rFonts w:ascii="Bookman Old Style" w:hAnsi="Bookman Old Style"/>
        </w:rPr>
        <w:t xml:space="preserve"> </w:t>
      </w:r>
      <w:r w:rsidR="002D44B0" w:rsidRPr="0086381C">
        <w:rPr>
          <w:rFonts w:ascii="Bookman Old Style" w:hAnsi="Bookman Old Style"/>
        </w:rPr>
        <w:t xml:space="preserve">nei confronti di chi tiene </w:t>
      </w:r>
      <w:r w:rsidR="00993202" w:rsidRPr="00B915EF">
        <w:rPr>
          <w:rFonts w:ascii="Bookman Old Style" w:hAnsi="Bookman Old Style"/>
          <w:b/>
          <w:bCs/>
        </w:rPr>
        <w:t>comportamenti violenti, minacciosi o</w:t>
      </w:r>
      <w:r w:rsidR="002D44B0" w:rsidRPr="00B915EF">
        <w:rPr>
          <w:rFonts w:ascii="Bookman Old Style" w:hAnsi="Bookman Old Style"/>
          <w:b/>
          <w:bCs/>
        </w:rPr>
        <w:t xml:space="preserve"> </w:t>
      </w:r>
      <w:r w:rsidR="00993202" w:rsidRPr="00B915EF">
        <w:rPr>
          <w:rFonts w:ascii="Bookman Old Style" w:hAnsi="Bookman Old Style"/>
          <w:b/>
          <w:bCs/>
        </w:rPr>
        <w:t>insistentemente molesti, da cui derivi un concreto pericolo per la sicurezza</w:t>
      </w:r>
      <w:r w:rsidR="00650031" w:rsidRPr="00B915EF">
        <w:rPr>
          <w:rFonts w:ascii="Bookman Old Style" w:hAnsi="Bookman Old Style"/>
          <w:b/>
          <w:bCs/>
        </w:rPr>
        <w:t xml:space="preserve"> </w:t>
      </w:r>
      <w:r w:rsidR="002650F2" w:rsidRPr="0086381C">
        <w:rPr>
          <w:rFonts w:ascii="Bookman Old Style" w:hAnsi="Bookman Old Style"/>
        </w:rPr>
        <w:t xml:space="preserve">nelle stesse aree nelle quali è già previsto </w:t>
      </w:r>
      <w:r w:rsidR="002F5007" w:rsidRPr="0086381C">
        <w:rPr>
          <w:rFonts w:ascii="Bookman Old Style" w:hAnsi="Bookman Old Style"/>
        </w:rPr>
        <w:t xml:space="preserve">tale </w:t>
      </w:r>
      <w:r w:rsidR="002650F2" w:rsidRPr="0086381C">
        <w:rPr>
          <w:rFonts w:ascii="Bookman Old Style" w:hAnsi="Bookman Old Style"/>
        </w:rPr>
        <w:t xml:space="preserve">provvedimento ( </w:t>
      </w:r>
      <w:r w:rsidR="002F5007" w:rsidRPr="0086381C">
        <w:rPr>
          <w:rFonts w:ascii="Bookman Old Style" w:hAnsi="Bookman Old Style"/>
        </w:rPr>
        <w:t xml:space="preserve">ovvero </w:t>
      </w:r>
      <w:r w:rsidR="000E789F" w:rsidRPr="0086381C">
        <w:rPr>
          <w:rFonts w:ascii="Bookman Old Style" w:hAnsi="Bookman Old Style"/>
        </w:rPr>
        <w:t>le</w:t>
      </w:r>
      <w:r w:rsidR="00BD6669" w:rsidRPr="0086381C">
        <w:rPr>
          <w:rFonts w:ascii="Bookman Old Style" w:hAnsi="Bookman Old Style"/>
        </w:rPr>
        <w:t xml:space="preserve"> infrastrutture fisse e mobili di trasporto pubblico urbano ed extraurbano</w:t>
      </w:r>
      <w:r w:rsidR="000E789F" w:rsidRPr="0086381C">
        <w:rPr>
          <w:rFonts w:ascii="Bookman Old Style" w:hAnsi="Bookman Old Style"/>
        </w:rPr>
        <w:t xml:space="preserve"> e</w:t>
      </w:r>
      <w:r w:rsidR="00BD6669" w:rsidRPr="0086381C">
        <w:rPr>
          <w:rFonts w:ascii="Bookman Old Style" w:hAnsi="Bookman Old Style"/>
        </w:rPr>
        <w:t xml:space="preserve"> relative pertinenze, presidi sanitari, scuole, università, luoghi della cultura o comunque interessati da consistenti flussi turistici, aree urbane destinate a pubblici spettacoli</w:t>
      </w:r>
      <w:r w:rsidR="001F361F" w:rsidRPr="0086381C">
        <w:rPr>
          <w:rFonts w:ascii="Bookman Old Style" w:hAnsi="Bookman Old Style"/>
        </w:rPr>
        <w:t xml:space="preserve"> </w:t>
      </w:r>
      <w:r w:rsidR="00BD6669" w:rsidRPr="0086381C">
        <w:rPr>
          <w:rFonts w:ascii="Bookman Old Style" w:hAnsi="Bookman Old Style"/>
        </w:rPr>
        <w:t xml:space="preserve"> nei confronti di chi</w:t>
      </w:r>
      <w:r w:rsidR="001F361F" w:rsidRPr="0086381C">
        <w:rPr>
          <w:rFonts w:ascii="Bookman Old Style" w:hAnsi="Bookman Old Style"/>
        </w:rPr>
        <w:t xml:space="preserve"> </w:t>
      </w:r>
      <w:r w:rsidR="00BD6669" w:rsidRPr="0086381C">
        <w:rPr>
          <w:rFonts w:ascii="Bookman Old Style" w:hAnsi="Bookman Old Style"/>
        </w:rPr>
        <w:t xml:space="preserve"> è colto in luogo pubblico in stato di manifesta ubriachezza,  compie atti contrari alla pubblica decenza, esercit</w:t>
      </w:r>
      <w:r w:rsidR="001F361F" w:rsidRPr="0086381C">
        <w:rPr>
          <w:rFonts w:ascii="Bookman Old Style" w:hAnsi="Bookman Old Style"/>
        </w:rPr>
        <w:t>a</w:t>
      </w:r>
      <w:r w:rsidR="00BD6669" w:rsidRPr="0086381C">
        <w:rPr>
          <w:rFonts w:ascii="Bookman Old Style" w:hAnsi="Bookman Old Style"/>
        </w:rPr>
        <w:t xml:space="preserve"> il commercio abusivo, attività di parcheggiatore abusivo, accattonaggio molesto</w:t>
      </w:r>
      <w:r w:rsidR="00871099" w:rsidRPr="0086381C">
        <w:rPr>
          <w:rFonts w:ascii="Bookman Old Style" w:hAnsi="Bookman Old Style"/>
        </w:rPr>
        <w:t xml:space="preserve">) </w:t>
      </w:r>
    </w:p>
    <w:p w14:paraId="3B3E8037" w14:textId="77777777" w:rsidR="00B915EF" w:rsidRPr="0086381C" w:rsidRDefault="00B915EF" w:rsidP="00B915EF">
      <w:pPr>
        <w:autoSpaceDE w:val="0"/>
        <w:autoSpaceDN w:val="0"/>
        <w:adjustRightInd w:val="0"/>
        <w:jc w:val="both"/>
        <w:rPr>
          <w:rFonts w:ascii="Bookman Old Style" w:hAnsi="Bookman Old Style"/>
        </w:rPr>
      </w:pPr>
    </w:p>
    <w:p w14:paraId="29CF916E" w14:textId="204E2C42" w:rsidR="00B915EF" w:rsidRPr="00B915EF" w:rsidRDefault="00B915EF" w:rsidP="00B915EF">
      <w:pPr>
        <w:pStyle w:val="Paragrafoelenco"/>
        <w:numPr>
          <w:ilvl w:val="0"/>
          <w:numId w:val="20"/>
        </w:numPr>
        <w:autoSpaceDE w:val="0"/>
        <w:autoSpaceDN w:val="0"/>
        <w:adjustRightInd w:val="0"/>
        <w:jc w:val="both"/>
        <w:rPr>
          <w:rFonts w:ascii="Bookman Old Style" w:hAnsi="Bookman Old Style"/>
        </w:rPr>
      </w:pPr>
      <w:r>
        <w:rPr>
          <w:rFonts w:ascii="Bookman Old Style" w:hAnsi="Bookman Old Style"/>
          <w:b/>
          <w:bCs/>
          <w:color w:val="004E9A"/>
        </w:rPr>
        <w:t>Zone rosse individuate dal Prefetto</w:t>
      </w:r>
      <w:r w:rsidR="00101912">
        <w:rPr>
          <w:rFonts w:ascii="Bookman Old Style" w:hAnsi="Bookman Old Style"/>
          <w:b/>
          <w:bCs/>
          <w:color w:val="004E9A"/>
        </w:rPr>
        <w:t xml:space="preserve"> e provvedimento di allontanamento</w:t>
      </w:r>
      <w:r>
        <w:rPr>
          <w:rFonts w:ascii="Bookman Old Style" w:hAnsi="Bookman Old Style"/>
          <w:b/>
          <w:bCs/>
          <w:color w:val="004E9A"/>
        </w:rPr>
        <w:t xml:space="preserve"> </w:t>
      </w:r>
      <w:r w:rsidRPr="00B915EF">
        <w:rPr>
          <w:rFonts w:ascii="Bookman Old Style" w:hAnsi="Bookman Old Style"/>
          <w:b/>
          <w:bCs/>
          <w:color w:val="004E9A"/>
        </w:rPr>
        <w:t xml:space="preserve">– art. 4 comma 1 lettera a) n. </w:t>
      </w:r>
      <w:r>
        <w:rPr>
          <w:rFonts w:ascii="Bookman Old Style" w:hAnsi="Bookman Old Style"/>
          <w:b/>
          <w:bCs/>
          <w:color w:val="004E9A"/>
        </w:rPr>
        <w:t>2</w:t>
      </w:r>
    </w:p>
    <w:p w14:paraId="713180CC" w14:textId="77777777" w:rsidR="003C6716" w:rsidRDefault="003C6716" w:rsidP="00C2787F">
      <w:pPr>
        <w:autoSpaceDE w:val="0"/>
        <w:autoSpaceDN w:val="0"/>
        <w:adjustRightInd w:val="0"/>
        <w:jc w:val="both"/>
        <w:rPr>
          <w:rFonts w:ascii="Bookman Old Style" w:hAnsi="Bookman Old Style"/>
          <w:b/>
          <w:bCs/>
        </w:rPr>
      </w:pPr>
    </w:p>
    <w:p w14:paraId="564F26F2" w14:textId="77777777" w:rsidR="00101912" w:rsidRDefault="00C2787F" w:rsidP="00101912">
      <w:pPr>
        <w:autoSpaceDE w:val="0"/>
        <w:autoSpaceDN w:val="0"/>
        <w:adjustRightInd w:val="0"/>
        <w:jc w:val="both"/>
        <w:rPr>
          <w:rFonts w:ascii="Bookman Old Style" w:hAnsi="Bookman Old Style"/>
        </w:rPr>
      </w:pPr>
      <w:r>
        <w:rPr>
          <w:rFonts w:ascii="Bookman Old Style" w:hAnsi="Bookman Old Style"/>
          <w:b/>
          <w:bCs/>
        </w:rPr>
        <w:t>I</w:t>
      </w:r>
      <w:r w:rsidR="00BE784B" w:rsidRPr="00B915EF">
        <w:rPr>
          <w:rFonts w:ascii="Bookman Old Style" w:hAnsi="Bookman Old Style"/>
          <w:b/>
          <w:bCs/>
        </w:rPr>
        <w:t>l Prefetto p</w:t>
      </w:r>
      <w:r w:rsidR="001A77F2" w:rsidRPr="00B915EF">
        <w:rPr>
          <w:rFonts w:ascii="Bookman Old Style" w:hAnsi="Bookman Old Style"/>
          <w:b/>
          <w:bCs/>
        </w:rPr>
        <w:t>uò</w:t>
      </w:r>
      <w:r w:rsidR="00BE784B" w:rsidRPr="00B915EF">
        <w:rPr>
          <w:rFonts w:ascii="Bookman Old Style" w:hAnsi="Bookman Old Style"/>
          <w:b/>
          <w:bCs/>
        </w:rPr>
        <w:t xml:space="preserve"> individuare</w:t>
      </w:r>
      <w:r w:rsidR="002511A9" w:rsidRPr="00B915EF">
        <w:rPr>
          <w:rFonts w:ascii="Bookman Old Style" w:hAnsi="Bookman Old Style"/>
          <w:b/>
          <w:bCs/>
        </w:rPr>
        <w:t xml:space="preserve"> specifiche zone (c.d. zone rosse</w:t>
      </w:r>
      <w:r w:rsidR="002511A9" w:rsidRPr="00B915EF">
        <w:rPr>
          <w:rFonts w:ascii="Bookman Old Style" w:hAnsi="Bookman Old Style"/>
        </w:rPr>
        <w:t>)</w:t>
      </w:r>
      <w:r w:rsidR="00BE784B" w:rsidRPr="00B915EF">
        <w:rPr>
          <w:rFonts w:ascii="Bookman Old Style" w:hAnsi="Bookman Old Style"/>
        </w:rPr>
        <w:t>,</w:t>
      </w:r>
      <w:r>
        <w:rPr>
          <w:rFonts w:ascii="Bookman Old Style" w:hAnsi="Bookman Old Style"/>
        </w:rPr>
        <w:t xml:space="preserve"> caratterizzate </w:t>
      </w:r>
      <w:r w:rsidRPr="00C2787F">
        <w:rPr>
          <w:rFonts w:ascii="Bookman Old Style" w:hAnsi="Bookman Old Style"/>
        </w:rPr>
        <w:t>da gravi e ripetuti episodi di criminalità o di illegalità,</w:t>
      </w:r>
      <w:r>
        <w:rPr>
          <w:rFonts w:ascii="Bookman Old Style" w:hAnsi="Bookman Old Style"/>
        </w:rPr>
        <w:t xml:space="preserve"> </w:t>
      </w:r>
      <w:r w:rsidRPr="00C2787F">
        <w:rPr>
          <w:rFonts w:ascii="Bookman Old Style" w:hAnsi="Bookman Old Style"/>
        </w:rPr>
        <w:t>in relazione alle quali è disposto l’allontanamento di soggetti che</w:t>
      </w:r>
      <w:r>
        <w:rPr>
          <w:rFonts w:ascii="Bookman Old Style" w:hAnsi="Bookman Old Style"/>
        </w:rPr>
        <w:t xml:space="preserve">, cumulativamente, </w:t>
      </w:r>
      <w:r w:rsidRPr="00B915EF">
        <w:rPr>
          <w:rFonts w:ascii="Bookman Old Style" w:hAnsi="Bookman Old Style"/>
        </w:rPr>
        <w:t>teng</w:t>
      </w:r>
      <w:r>
        <w:rPr>
          <w:rFonts w:ascii="Bookman Old Style" w:hAnsi="Bookman Old Style"/>
        </w:rPr>
        <w:t>ano</w:t>
      </w:r>
      <w:r w:rsidRPr="00B915EF">
        <w:rPr>
          <w:rFonts w:ascii="Bookman Old Style" w:hAnsi="Bookman Old Style"/>
        </w:rPr>
        <w:t xml:space="preserve"> comportamenti violenti, minacciosi o molesti, mettendone in pericolo la sicurezza e impedendone la libera fruibilità</w:t>
      </w:r>
      <w:r>
        <w:rPr>
          <w:rFonts w:ascii="Bookman Old Style" w:hAnsi="Bookman Old Style"/>
        </w:rPr>
        <w:t xml:space="preserve"> e che </w:t>
      </w:r>
      <w:r w:rsidRPr="00B915EF">
        <w:rPr>
          <w:rFonts w:ascii="Bookman Old Style" w:hAnsi="Bookman Old Style"/>
        </w:rPr>
        <w:t xml:space="preserve">siano stati denunciati negli ultimi cinque anni per delitti non colposi contro la persona o il patrimonio (ad  esempio: lesioni, percosse, minacce, rapina, furto, estorsione, danneggiamento);  reati in materia di stupefacenti, relativi al porto di armi o oggetti atti ad offendere, al porto di armi per cui non è ammessa licenza o per particolari strumenti atti ad offendere. </w:t>
      </w:r>
    </w:p>
    <w:p w14:paraId="1EBE6D6A" w14:textId="1718A8E0" w:rsidR="00C2787F" w:rsidRPr="00B915EF" w:rsidRDefault="00101912" w:rsidP="00C2787F">
      <w:pPr>
        <w:autoSpaceDE w:val="0"/>
        <w:autoSpaceDN w:val="0"/>
        <w:adjustRightInd w:val="0"/>
        <w:jc w:val="both"/>
        <w:rPr>
          <w:rFonts w:ascii="Bookman Old Style" w:hAnsi="Bookman Old Style"/>
        </w:rPr>
      </w:pPr>
      <w:r>
        <w:rPr>
          <w:rFonts w:ascii="Bookman Old Style" w:hAnsi="Bookman Old Style"/>
        </w:rPr>
        <w:t>L</w:t>
      </w:r>
      <w:r w:rsidRPr="00101912">
        <w:rPr>
          <w:rFonts w:ascii="Bookman Old Style" w:hAnsi="Bookman Old Style"/>
        </w:rPr>
        <w:t>e zone sono individuate per una durata</w:t>
      </w:r>
      <w:r>
        <w:rPr>
          <w:rFonts w:ascii="Bookman Old Style" w:hAnsi="Bookman Old Style"/>
        </w:rPr>
        <w:t xml:space="preserve"> </w:t>
      </w:r>
      <w:r w:rsidRPr="00101912">
        <w:rPr>
          <w:rFonts w:ascii="Bookman Old Style" w:hAnsi="Bookman Old Style"/>
        </w:rPr>
        <w:t xml:space="preserve">massima di 6 mesi, rinnovabile, anche più volte, fino a 18 mesi, </w:t>
      </w:r>
      <w:r w:rsidR="0056248B" w:rsidRPr="00101912">
        <w:rPr>
          <w:rFonts w:ascii="Bookman Old Style" w:hAnsi="Bookman Old Style"/>
        </w:rPr>
        <w:t xml:space="preserve">con </w:t>
      </w:r>
      <w:r w:rsidR="0056248B">
        <w:rPr>
          <w:rFonts w:ascii="Bookman Old Style" w:hAnsi="Bookman Old Style"/>
        </w:rPr>
        <w:t>provvedimenti</w:t>
      </w:r>
      <w:r w:rsidRPr="00101912">
        <w:rPr>
          <w:rFonts w:ascii="Bookman Old Style" w:hAnsi="Bookman Old Style"/>
        </w:rPr>
        <w:t xml:space="preserve"> motivati specificamente in relazione alla durata e ai luoghi interessati</w:t>
      </w:r>
      <w:r>
        <w:rPr>
          <w:rFonts w:ascii="Bookman Old Style" w:hAnsi="Bookman Old Style"/>
        </w:rPr>
        <w:t xml:space="preserve"> e</w:t>
      </w:r>
      <w:r w:rsidR="00C2787F" w:rsidRPr="00B915EF">
        <w:rPr>
          <w:rFonts w:ascii="Bookman Old Style" w:hAnsi="Bookman Old Style"/>
        </w:rPr>
        <w:t xml:space="preserve"> sentito il Comitato provinciale per l’ordine e la sicurezza pubblica alle cui riunioni è invitato a partecipare anche il Procuratore della Repubblica</w:t>
      </w:r>
      <w:r w:rsidR="00C2787F">
        <w:rPr>
          <w:rFonts w:ascii="Bookman Old Style" w:hAnsi="Bookman Old Style"/>
        </w:rPr>
        <w:t>.</w:t>
      </w:r>
    </w:p>
    <w:p w14:paraId="393B7C14" w14:textId="0A7832E2" w:rsidR="00C2787F" w:rsidRDefault="00C2787F" w:rsidP="00C2787F">
      <w:pPr>
        <w:autoSpaceDE w:val="0"/>
        <w:autoSpaceDN w:val="0"/>
        <w:adjustRightInd w:val="0"/>
        <w:jc w:val="both"/>
        <w:rPr>
          <w:rFonts w:ascii="Bookman Old Style" w:hAnsi="Bookman Old Style"/>
        </w:rPr>
      </w:pPr>
    </w:p>
    <w:p w14:paraId="071D060B" w14:textId="77777777" w:rsidR="0056248B" w:rsidRDefault="0056248B" w:rsidP="00C2787F">
      <w:pPr>
        <w:autoSpaceDE w:val="0"/>
        <w:autoSpaceDN w:val="0"/>
        <w:adjustRightInd w:val="0"/>
        <w:jc w:val="both"/>
        <w:rPr>
          <w:rFonts w:ascii="Bookman Old Style" w:hAnsi="Bookman Old Style"/>
        </w:rPr>
      </w:pPr>
    </w:p>
    <w:p w14:paraId="528E1F8D" w14:textId="77777777" w:rsidR="00AC3CD3" w:rsidRDefault="00AC3CD3" w:rsidP="00C2787F">
      <w:pPr>
        <w:autoSpaceDE w:val="0"/>
        <w:autoSpaceDN w:val="0"/>
        <w:adjustRightInd w:val="0"/>
        <w:jc w:val="both"/>
        <w:rPr>
          <w:rFonts w:ascii="Bookman Old Style" w:hAnsi="Bookman Old Style"/>
        </w:rPr>
      </w:pPr>
    </w:p>
    <w:p w14:paraId="73F56789" w14:textId="677D16F5" w:rsidR="00EB50EC" w:rsidRPr="00B915EF" w:rsidRDefault="00A55BAF" w:rsidP="00EB50EC">
      <w:pPr>
        <w:pStyle w:val="Paragrafoelenco"/>
        <w:numPr>
          <w:ilvl w:val="0"/>
          <w:numId w:val="20"/>
        </w:numPr>
        <w:autoSpaceDE w:val="0"/>
        <w:autoSpaceDN w:val="0"/>
        <w:adjustRightInd w:val="0"/>
        <w:jc w:val="both"/>
        <w:rPr>
          <w:rFonts w:ascii="Bookman Old Style" w:hAnsi="Bookman Old Style"/>
        </w:rPr>
      </w:pPr>
      <w:r>
        <w:rPr>
          <w:rFonts w:ascii="Bookman Old Style" w:hAnsi="Bookman Old Style"/>
          <w:b/>
          <w:bCs/>
          <w:color w:val="004E9A"/>
        </w:rPr>
        <w:lastRenderedPageBreak/>
        <w:t>Estensione del c.d. Daspo Urbano</w:t>
      </w:r>
      <w:r w:rsidR="00EB50EC" w:rsidRPr="00B915EF">
        <w:rPr>
          <w:rFonts w:ascii="Bookman Old Style" w:hAnsi="Bookman Old Style"/>
          <w:b/>
          <w:bCs/>
          <w:color w:val="004E9A"/>
        </w:rPr>
        <w:t xml:space="preserve">– art. 4 comma 1 lettera </w:t>
      </w:r>
      <w:r>
        <w:rPr>
          <w:rFonts w:ascii="Bookman Old Style" w:hAnsi="Bookman Old Style"/>
          <w:b/>
          <w:bCs/>
          <w:color w:val="004E9A"/>
        </w:rPr>
        <w:t>b)</w:t>
      </w:r>
    </w:p>
    <w:p w14:paraId="0DA4641A" w14:textId="77777777" w:rsidR="00C2787F" w:rsidRDefault="00C2787F" w:rsidP="00C2787F">
      <w:pPr>
        <w:autoSpaceDE w:val="0"/>
        <w:autoSpaceDN w:val="0"/>
        <w:adjustRightInd w:val="0"/>
        <w:jc w:val="both"/>
        <w:rPr>
          <w:rFonts w:ascii="Bookman Old Style" w:hAnsi="Bookman Old Style"/>
        </w:rPr>
      </w:pPr>
    </w:p>
    <w:p w14:paraId="542C18CA" w14:textId="07850858" w:rsidR="001865E2" w:rsidRPr="00A55BAF" w:rsidRDefault="00806CF3" w:rsidP="00A55BAF">
      <w:pPr>
        <w:autoSpaceDE w:val="0"/>
        <w:autoSpaceDN w:val="0"/>
        <w:adjustRightInd w:val="0"/>
        <w:jc w:val="both"/>
        <w:rPr>
          <w:rFonts w:ascii="Bookman Old Style" w:hAnsi="Bookman Old Style"/>
        </w:rPr>
      </w:pPr>
      <w:r w:rsidRPr="00A55BAF">
        <w:rPr>
          <w:rFonts w:ascii="Bookman Old Style" w:hAnsi="Bookman Old Style"/>
        </w:rPr>
        <w:t>Si estende n</w:t>
      </w:r>
      <w:r w:rsidR="00C63B41" w:rsidRPr="00A55BAF">
        <w:rPr>
          <w:rFonts w:ascii="Bookman Old Style" w:hAnsi="Bookman Old Style"/>
        </w:rPr>
        <w:t>ei confronti di coloro che risultino denunciati o condannati anche con sentenza non definitiva nel corso dei cinque anni precedenti, per reati per cui è previsto l’arresto obbligatorio in flagranza</w:t>
      </w:r>
      <w:r w:rsidR="00D15209" w:rsidRPr="00A55BAF">
        <w:rPr>
          <w:rFonts w:ascii="Bookman Old Style" w:hAnsi="Bookman Old Style"/>
        </w:rPr>
        <w:t>, per il reato di uso di caschi protettivi</w:t>
      </w:r>
      <w:r w:rsidR="005867B5" w:rsidRPr="00A55BAF">
        <w:rPr>
          <w:rFonts w:ascii="Bookman Old Style" w:hAnsi="Bookman Old Style"/>
        </w:rPr>
        <w:t xml:space="preserve"> o di altro mezzo che rende difficolto</w:t>
      </w:r>
      <w:r w:rsidR="001F34BD" w:rsidRPr="00A55BAF">
        <w:rPr>
          <w:rFonts w:ascii="Bookman Old Style" w:hAnsi="Bookman Old Style"/>
        </w:rPr>
        <w:t xml:space="preserve">so il </w:t>
      </w:r>
      <w:r w:rsidR="00634A10" w:rsidRPr="00A55BAF">
        <w:rPr>
          <w:rFonts w:ascii="Bookman Old Style" w:hAnsi="Bookman Old Style"/>
        </w:rPr>
        <w:t>riconoscimento</w:t>
      </w:r>
      <w:r w:rsidR="001F34BD" w:rsidRPr="00A55BAF">
        <w:rPr>
          <w:rFonts w:ascii="Bookman Old Style" w:hAnsi="Bookman Old Style"/>
        </w:rPr>
        <w:t xml:space="preserve"> della persona</w:t>
      </w:r>
      <w:r w:rsidR="007846D8" w:rsidRPr="00A55BAF">
        <w:rPr>
          <w:rFonts w:ascii="Bookman Old Style" w:hAnsi="Bookman Old Style"/>
        </w:rPr>
        <w:t xml:space="preserve"> senza giustificato motivo in occasione di </w:t>
      </w:r>
      <w:r w:rsidR="00634A10" w:rsidRPr="00A55BAF">
        <w:rPr>
          <w:rFonts w:ascii="Bookman Old Style" w:hAnsi="Bookman Old Style"/>
        </w:rPr>
        <w:t>manifestazioni</w:t>
      </w:r>
      <w:r w:rsidR="007846D8" w:rsidRPr="00A55BAF">
        <w:rPr>
          <w:rFonts w:ascii="Bookman Old Style" w:hAnsi="Bookman Old Style"/>
        </w:rPr>
        <w:t xml:space="preserve"> che si </w:t>
      </w:r>
      <w:r w:rsidR="00634A10" w:rsidRPr="00A55BAF">
        <w:rPr>
          <w:rFonts w:ascii="Bookman Old Style" w:hAnsi="Bookman Old Style"/>
        </w:rPr>
        <w:t>svolgono</w:t>
      </w:r>
      <w:r w:rsidR="007846D8" w:rsidRPr="00A55BAF">
        <w:rPr>
          <w:rFonts w:ascii="Bookman Old Style" w:hAnsi="Bookman Old Style"/>
        </w:rPr>
        <w:t xml:space="preserve"> in luogo pubblico </w:t>
      </w:r>
      <w:r w:rsidR="00C63B41" w:rsidRPr="00A55BAF">
        <w:rPr>
          <w:rFonts w:ascii="Bookman Old Style" w:hAnsi="Bookman Old Style"/>
        </w:rPr>
        <w:t>o aperto al pubblico</w:t>
      </w:r>
      <w:r w:rsidR="00495B1C" w:rsidRPr="00A55BAF">
        <w:rPr>
          <w:rFonts w:ascii="Bookman Old Style" w:hAnsi="Bookman Old Style"/>
        </w:rPr>
        <w:t xml:space="preserve">, </w:t>
      </w:r>
      <w:r w:rsidR="009C5C1F" w:rsidRPr="00A55BAF">
        <w:rPr>
          <w:rFonts w:ascii="Bookman Old Style" w:hAnsi="Bookman Old Style"/>
        </w:rPr>
        <w:t>per il reato di u</w:t>
      </w:r>
      <w:r w:rsidR="00C00F3C" w:rsidRPr="00A55BAF">
        <w:rPr>
          <w:rFonts w:ascii="Bookman Old Style" w:hAnsi="Bookman Old Style"/>
        </w:rPr>
        <w:t xml:space="preserve">tilizzo </w:t>
      </w:r>
      <w:r w:rsidR="00634A10" w:rsidRPr="00A55BAF">
        <w:rPr>
          <w:rFonts w:ascii="Bookman Old Style" w:hAnsi="Bookman Old Style"/>
        </w:rPr>
        <w:t>illegittimo</w:t>
      </w:r>
      <w:r w:rsidR="00C00F3C" w:rsidRPr="00A55BAF">
        <w:rPr>
          <w:rFonts w:ascii="Bookman Old Style" w:hAnsi="Bookman Old Style"/>
        </w:rPr>
        <w:t xml:space="preserve"> di razzi e bengala, </w:t>
      </w:r>
      <w:r w:rsidR="0068504A" w:rsidRPr="00A55BAF">
        <w:rPr>
          <w:rFonts w:ascii="Bookman Old Style" w:hAnsi="Bookman Old Style"/>
        </w:rPr>
        <w:t xml:space="preserve">di porto d’armi o </w:t>
      </w:r>
      <w:r w:rsidR="00634A10" w:rsidRPr="00A55BAF">
        <w:rPr>
          <w:rFonts w:ascii="Bookman Old Style" w:hAnsi="Bookman Old Style"/>
        </w:rPr>
        <w:t>s</w:t>
      </w:r>
      <w:r w:rsidR="0068504A" w:rsidRPr="00A55BAF">
        <w:rPr>
          <w:rFonts w:ascii="Bookman Old Style" w:hAnsi="Bookman Old Style"/>
        </w:rPr>
        <w:t>oggetti atti ad offendere</w:t>
      </w:r>
      <w:r w:rsidR="00D22B93" w:rsidRPr="00A55BAF">
        <w:rPr>
          <w:rFonts w:ascii="Bookman Old Style" w:hAnsi="Bookman Old Style"/>
        </w:rPr>
        <w:t>, d</w:t>
      </w:r>
      <w:r w:rsidR="00F531E8">
        <w:rPr>
          <w:rFonts w:ascii="Bookman Old Style" w:hAnsi="Bookman Old Style"/>
        </w:rPr>
        <w:t>i</w:t>
      </w:r>
      <w:r w:rsidR="00D22B93" w:rsidRPr="00A55BAF">
        <w:rPr>
          <w:rFonts w:ascii="Bookman Old Style" w:hAnsi="Bookman Old Style"/>
        </w:rPr>
        <w:t xml:space="preserve"> porto d’armi per cui non è ammessa </w:t>
      </w:r>
      <w:r w:rsidR="00660F50" w:rsidRPr="00A55BAF">
        <w:rPr>
          <w:rFonts w:ascii="Bookman Old Style" w:hAnsi="Bookman Old Style"/>
        </w:rPr>
        <w:t>licenza</w:t>
      </w:r>
      <w:r w:rsidR="00C274EB" w:rsidRPr="00A55BAF">
        <w:rPr>
          <w:rFonts w:ascii="Bookman Old Style" w:hAnsi="Bookman Old Style"/>
        </w:rPr>
        <w:t xml:space="preserve"> commessi nelle immediate vicinanze di istituti di credito, parchi e giardini, stazioni ferroviarie</w:t>
      </w:r>
      <w:r w:rsidR="00D140C9" w:rsidRPr="00A55BAF">
        <w:rPr>
          <w:rFonts w:ascii="Bookman Old Style" w:hAnsi="Bookman Old Style"/>
        </w:rPr>
        <w:t xml:space="preserve"> anche metropolitane e luoghi per la sosta o fermata di mezzi di </w:t>
      </w:r>
      <w:r w:rsidR="00660F50" w:rsidRPr="00A55BAF">
        <w:rPr>
          <w:rFonts w:ascii="Bookman Old Style" w:hAnsi="Bookman Old Style"/>
        </w:rPr>
        <w:t>pubblico</w:t>
      </w:r>
      <w:r w:rsidR="00D140C9" w:rsidRPr="00A55BAF">
        <w:rPr>
          <w:rFonts w:ascii="Bookman Old Style" w:hAnsi="Bookman Old Style"/>
        </w:rPr>
        <w:t xml:space="preserve"> trasporto. </w:t>
      </w:r>
      <w:r w:rsidR="002B1325" w:rsidRPr="00A55BAF">
        <w:rPr>
          <w:rFonts w:ascii="Bookman Old Style" w:hAnsi="Bookman Old Style"/>
        </w:rPr>
        <w:t xml:space="preserve">Anche i minorenni, </w:t>
      </w:r>
      <w:r w:rsidR="0077427D" w:rsidRPr="00A55BAF">
        <w:rPr>
          <w:rFonts w:ascii="Bookman Old Style" w:hAnsi="Bookman Old Style"/>
        </w:rPr>
        <w:t xml:space="preserve">che hanno compiuto i quattordici anni di età, </w:t>
      </w:r>
      <w:r w:rsidR="00AE6492" w:rsidRPr="00A55BAF">
        <w:rPr>
          <w:rFonts w:ascii="Bookman Old Style" w:hAnsi="Bookman Old Style"/>
        </w:rPr>
        <w:t>possono essere destinata</w:t>
      </w:r>
      <w:r w:rsidR="00F531E8">
        <w:rPr>
          <w:rFonts w:ascii="Bookman Old Style" w:hAnsi="Bookman Old Style"/>
        </w:rPr>
        <w:t>r</w:t>
      </w:r>
      <w:r w:rsidR="00AE6492" w:rsidRPr="00A55BAF">
        <w:rPr>
          <w:rFonts w:ascii="Bookman Old Style" w:hAnsi="Bookman Old Style"/>
        </w:rPr>
        <w:t xml:space="preserve">i del </w:t>
      </w:r>
      <w:r w:rsidR="009B7AE7" w:rsidRPr="00A55BAF">
        <w:rPr>
          <w:rFonts w:ascii="Bookman Old Style" w:hAnsi="Bookman Old Style"/>
        </w:rPr>
        <w:t xml:space="preserve">provvedimento di allontanamento </w:t>
      </w:r>
      <w:r w:rsidR="008D66FE" w:rsidRPr="00A55BAF">
        <w:rPr>
          <w:rFonts w:ascii="Bookman Old Style" w:hAnsi="Bookman Old Style"/>
        </w:rPr>
        <w:t xml:space="preserve">in caso di condotte che impediscono l’accessibilità e la fruibilità </w:t>
      </w:r>
      <w:r w:rsidR="004F2877" w:rsidRPr="00A55BAF">
        <w:rPr>
          <w:rFonts w:ascii="Bookman Old Style" w:hAnsi="Bookman Old Style"/>
        </w:rPr>
        <w:t>di infrastrutture fisse o mobili</w:t>
      </w:r>
      <w:r w:rsidR="00900E86" w:rsidRPr="00A55BAF">
        <w:rPr>
          <w:rFonts w:ascii="Bookman Old Style" w:hAnsi="Bookman Old Style"/>
        </w:rPr>
        <w:t xml:space="preserve"> </w:t>
      </w:r>
      <w:r w:rsidR="00634A10" w:rsidRPr="00A55BAF">
        <w:rPr>
          <w:rFonts w:ascii="Bookman Old Style" w:hAnsi="Bookman Old Style"/>
        </w:rPr>
        <w:t>ferroviarie</w:t>
      </w:r>
      <w:r w:rsidR="00900E86" w:rsidRPr="00A55BAF">
        <w:rPr>
          <w:rFonts w:ascii="Bookman Old Style" w:hAnsi="Bookman Old Style"/>
        </w:rPr>
        <w:t xml:space="preserve"> </w:t>
      </w:r>
      <w:r w:rsidR="00634A10" w:rsidRPr="00A55BAF">
        <w:rPr>
          <w:rFonts w:ascii="Bookman Old Style" w:hAnsi="Bookman Old Style"/>
        </w:rPr>
        <w:t>aeroportuali</w:t>
      </w:r>
      <w:r w:rsidR="00900E86" w:rsidRPr="00A55BAF">
        <w:rPr>
          <w:rFonts w:ascii="Bookman Old Style" w:hAnsi="Bookman Old Style"/>
        </w:rPr>
        <w:t xml:space="preserve"> marittime e di trasporto pubblico locale</w:t>
      </w:r>
      <w:r w:rsidR="00660F50" w:rsidRPr="00A55BAF">
        <w:rPr>
          <w:rFonts w:ascii="Bookman Old Style" w:hAnsi="Bookman Old Style"/>
        </w:rPr>
        <w:t xml:space="preserve"> urbano ed extraurbano. </w:t>
      </w:r>
      <w:r w:rsidR="001B4EBE" w:rsidRPr="00A55BAF">
        <w:rPr>
          <w:rFonts w:ascii="Bookman Old Style" w:hAnsi="Bookman Old Style"/>
        </w:rPr>
        <w:t xml:space="preserve"> </w:t>
      </w:r>
      <w:r w:rsidR="001865E2" w:rsidRPr="00A55BAF">
        <w:rPr>
          <w:rFonts w:ascii="Bookman Old Style" w:hAnsi="Bookman Old Style"/>
        </w:rPr>
        <w:t>Viene</w:t>
      </w:r>
      <w:r w:rsidR="008A1DB4">
        <w:rPr>
          <w:rFonts w:ascii="Bookman Old Style" w:hAnsi="Bookman Old Style"/>
        </w:rPr>
        <w:t>,</w:t>
      </w:r>
      <w:r w:rsidR="001865E2" w:rsidRPr="00A55BAF">
        <w:rPr>
          <w:rFonts w:ascii="Bookman Old Style" w:hAnsi="Bookman Old Style"/>
        </w:rPr>
        <w:t xml:space="preserve"> infine</w:t>
      </w:r>
      <w:r w:rsidR="008A1DB4">
        <w:rPr>
          <w:rFonts w:ascii="Bookman Old Style" w:hAnsi="Bookman Old Style"/>
        </w:rPr>
        <w:t>,</w:t>
      </w:r>
      <w:r w:rsidR="001865E2" w:rsidRPr="00A55BAF">
        <w:rPr>
          <w:rFonts w:ascii="Bookman Old Style" w:hAnsi="Bookman Old Style"/>
        </w:rPr>
        <w:t xml:space="preserve"> introdotto l’arresto in flagranza differita nei confronti di chi ha commesso il reato di danneggiamento in occasione di manifestazioni in luogo pubblico o aperto al pubblico</w:t>
      </w:r>
      <w:r w:rsidR="001B4EBE" w:rsidRPr="00A55BAF">
        <w:rPr>
          <w:rFonts w:ascii="Bookman Old Style" w:hAnsi="Bookman Old Style"/>
        </w:rPr>
        <w:t xml:space="preserve">. </w:t>
      </w:r>
    </w:p>
    <w:p w14:paraId="0A99834B" w14:textId="77777777" w:rsidR="00F37385" w:rsidRPr="004F2FE7" w:rsidRDefault="00F37385" w:rsidP="00F37385">
      <w:pPr>
        <w:autoSpaceDE w:val="0"/>
        <w:autoSpaceDN w:val="0"/>
        <w:adjustRightInd w:val="0"/>
        <w:spacing w:line="360" w:lineRule="auto"/>
        <w:jc w:val="both"/>
        <w:rPr>
          <w:rFonts w:ascii="Bookman Old Style" w:hAnsi="Bookman Old Style"/>
        </w:rPr>
      </w:pPr>
    </w:p>
    <w:p w14:paraId="64E8F00F" w14:textId="77777777" w:rsidR="0090623B" w:rsidRPr="004F2FE7" w:rsidRDefault="0090623B" w:rsidP="00AE3787">
      <w:pPr>
        <w:spacing w:line="360" w:lineRule="auto"/>
        <w:jc w:val="both"/>
        <w:rPr>
          <w:rFonts w:ascii="Bookman Old Style" w:hAnsi="Bookman Old Style"/>
        </w:rPr>
      </w:pPr>
    </w:p>
    <w:p w14:paraId="3A4F02EA" w14:textId="46BF248C" w:rsidR="006C196F" w:rsidRPr="004F2FE7" w:rsidRDefault="00E5647C" w:rsidP="00AE3787">
      <w:pPr>
        <w:spacing w:line="360" w:lineRule="auto"/>
        <w:jc w:val="both"/>
        <w:rPr>
          <w:rFonts w:ascii="Bookman Old Style" w:hAnsi="Bookman Old Style"/>
        </w:rPr>
      </w:pPr>
      <w:r>
        <w:rPr>
          <w:rFonts w:ascii="Bookman Old Style" w:hAnsi="Bookman Old Style"/>
        </w:rPr>
        <w:t>Inoltre, i</w:t>
      </w:r>
      <w:r w:rsidR="00A971FB">
        <w:rPr>
          <w:rFonts w:ascii="Bookman Old Style" w:hAnsi="Bookman Old Style"/>
        </w:rPr>
        <w:t xml:space="preserve">l </w:t>
      </w:r>
      <w:r w:rsidR="00AC3CD3">
        <w:rPr>
          <w:rFonts w:ascii="Bookman Old Style" w:hAnsi="Bookman Old Style"/>
        </w:rPr>
        <w:t>Decreto-legge</w:t>
      </w:r>
      <w:r w:rsidR="00A971FB">
        <w:rPr>
          <w:rFonts w:ascii="Bookman Old Style" w:hAnsi="Bookman Old Style"/>
        </w:rPr>
        <w:t xml:space="preserve"> in commento prevede </w:t>
      </w:r>
      <w:r w:rsidR="00AC3CD3">
        <w:rPr>
          <w:rFonts w:ascii="Bookman Old Style" w:hAnsi="Bookman Old Style"/>
        </w:rPr>
        <w:t>negli altri articoli</w:t>
      </w:r>
      <w:r w:rsidR="00A971FB">
        <w:rPr>
          <w:rFonts w:ascii="Bookman Old Style" w:hAnsi="Bookman Old Style"/>
        </w:rPr>
        <w:t>:</w:t>
      </w:r>
    </w:p>
    <w:p w14:paraId="4DCE5762" w14:textId="6747323F" w:rsidR="00D44E56" w:rsidRPr="004F2FE7" w:rsidRDefault="00D44E56" w:rsidP="00AC3CD3">
      <w:pPr>
        <w:pStyle w:val="Paragrafoelenco"/>
        <w:numPr>
          <w:ilvl w:val="0"/>
          <w:numId w:val="21"/>
        </w:numPr>
        <w:ind w:left="714" w:hanging="357"/>
        <w:jc w:val="both"/>
        <w:rPr>
          <w:rFonts w:ascii="Bookman Old Style" w:hAnsi="Bookman Old Style"/>
        </w:rPr>
      </w:pPr>
      <w:r w:rsidRPr="004F2FE7">
        <w:rPr>
          <w:rFonts w:ascii="Bookman Old Style" w:hAnsi="Bookman Old Style"/>
        </w:rPr>
        <w:t xml:space="preserve">una </w:t>
      </w:r>
      <w:r w:rsidRPr="00AC3CD3">
        <w:rPr>
          <w:rFonts w:ascii="Bookman Old Style" w:hAnsi="Bookman Old Style"/>
          <w:b/>
          <w:bCs/>
        </w:rPr>
        <w:t>stretta su armi e coltelli</w:t>
      </w:r>
      <w:r w:rsidRPr="004F2FE7">
        <w:rPr>
          <w:rFonts w:ascii="Bookman Old Style" w:hAnsi="Bookman Old Style"/>
        </w:rPr>
        <w:t>, con un focus in particolare sui minori e sanzioni sui genitori</w:t>
      </w:r>
      <w:r>
        <w:rPr>
          <w:rFonts w:ascii="Bookman Old Style" w:hAnsi="Bookman Old Style"/>
        </w:rPr>
        <w:t xml:space="preserve"> (articolo 1) </w:t>
      </w:r>
    </w:p>
    <w:p w14:paraId="7D2B68A9" w14:textId="53332AB3" w:rsidR="00A971FB" w:rsidRPr="004F2FE7" w:rsidRDefault="00A971FB" w:rsidP="00AC3CD3">
      <w:pPr>
        <w:pStyle w:val="Paragrafoelenco"/>
        <w:numPr>
          <w:ilvl w:val="0"/>
          <w:numId w:val="21"/>
        </w:numPr>
        <w:ind w:left="714" w:hanging="357"/>
        <w:jc w:val="both"/>
        <w:rPr>
          <w:rFonts w:ascii="Bookman Old Style" w:hAnsi="Bookman Old Style"/>
        </w:rPr>
      </w:pPr>
      <w:r w:rsidRPr="004F2FE7">
        <w:rPr>
          <w:rFonts w:ascii="Bookman Old Style" w:hAnsi="Bookman Old Style"/>
        </w:rPr>
        <w:t xml:space="preserve">un’estensione del catalogo dei reati per i quali si può applicare </w:t>
      </w:r>
      <w:r w:rsidRPr="00AC3CD3">
        <w:rPr>
          <w:rFonts w:ascii="Bookman Old Style" w:hAnsi="Bookman Old Style"/>
          <w:b/>
          <w:bCs/>
        </w:rPr>
        <w:t xml:space="preserve">l’ammonimento del questore nei confronti di minorenni </w:t>
      </w:r>
      <w:r w:rsidRPr="004F2FE7">
        <w:rPr>
          <w:rFonts w:ascii="Bookman Old Style" w:hAnsi="Bookman Old Style"/>
        </w:rPr>
        <w:t>dai 12 ai 14 anni, includendo reati come lesioni, rissa, minaccia e violenza privata quando commessi con armi o strumenti atti a offendere.</w:t>
      </w:r>
      <w:r w:rsidR="00D44E56" w:rsidRPr="00D44E56">
        <w:rPr>
          <w:rFonts w:ascii="Bookman Old Style" w:hAnsi="Bookman Old Style"/>
        </w:rPr>
        <w:t xml:space="preserve"> </w:t>
      </w:r>
      <w:r w:rsidR="00D44E56" w:rsidRPr="004F2FE7">
        <w:rPr>
          <w:rFonts w:ascii="Bookman Old Style" w:hAnsi="Bookman Old Style"/>
        </w:rPr>
        <w:t>In caso di reiterazione dopo l’ammonimento, scattano sanzioni ai genitori analoghe a quelle previste per l’uso dei coltelli</w:t>
      </w:r>
      <w:r w:rsidR="00D44E56">
        <w:rPr>
          <w:rFonts w:ascii="Bookman Old Style" w:hAnsi="Bookman Old Style"/>
        </w:rPr>
        <w:t xml:space="preserve"> </w:t>
      </w:r>
      <w:r w:rsidR="00092CB8">
        <w:rPr>
          <w:rFonts w:ascii="Bookman Old Style" w:hAnsi="Bookman Old Style"/>
        </w:rPr>
        <w:t>(articolo</w:t>
      </w:r>
      <w:r w:rsidR="00D44E56">
        <w:rPr>
          <w:rFonts w:ascii="Bookman Old Style" w:hAnsi="Bookman Old Style"/>
        </w:rPr>
        <w:t xml:space="preserve"> 2) </w:t>
      </w:r>
    </w:p>
    <w:p w14:paraId="1736894F" w14:textId="55E0B2D2" w:rsidR="00F12E5A" w:rsidRDefault="00D44E56" w:rsidP="00AC3CD3">
      <w:pPr>
        <w:pStyle w:val="Paragrafoelenco"/>
        <w:numPr>
          <w:ilvl w:val="0"/>
          <w:numId w:val="21"/>
        </w:numPr>
        <w:ind w:left="714" w:hanging="357"/>
        <w:jc w:val="both"/>
        <w:rPr>
          <w:rFonts w:ascii="Bookman Old Style" w:hAnsi="Bookman Old Style"/>
        </w:rPr>
      </w:pPr>
      <w:r>
        <w:rPr>
          <w:rFonts w:ascii="Bookman Old Style" w:hAnsi="Bookman Old Style"/>
        </w:rPr>
        <w:t>d</w:t>
      </w:r>
      <w:r w:rsidR="00F12E5A" w:rsidRPr="004F2FE7">
        <w:rPr>
          <w:rFonts w:ascii="Bookman Old Style" w:hAnsi="Bookman Old Style"/>
        </w:rPr>
        <w:t xml:space="preserve">isposizioni per il </w:t>
      </w:r>
      <w:r w:rsidR="00F12E5A" w:rsidRPr="00AC3CD3">
        <w:rPr>
          <w:rFonts w:ascii="Bookman Old Style" w:hAnsi="Bookman Old Style"/>
          <w:b/>
          <w:bCs/>
        </w:rPr>
        <w:t>contrasto del furto con destrezza</w:t>
      </w:r>
      <w:r w:rsidR="00F12E5A" w:rsidRPr="004F2FE7">
        <w:rPr>
          <w:rFonts w:ascii="Bookman Old Style" w:hAnsi="Bookman Old Style"/>
        </w:rPr>
        <w:t>, che torna ad essere procedibile d’ufficio, e della rapina commessa da un gruppo organizzato</w:t>
      </w:r>
      <w:r w:rsidR="00092CB8">
        <w:rPr>
          <w:rFonts w:ascii="Bookman Old Style" w:hAnsi="Bookman Old Style"/>
        </w:rPr>
        <w:t xml:space="preserve"> (articolo 3)</w:t>
      </w:r>
      <w:r w:rsidR="00B00830">
        <w:rPr>
          <w:rFonts w:ascii="Bookman Old Style" w:hAnsi="Bookman Old Style"/>
        </w:rPr>
        <w:t>;</w:t>
      </w:r>
    </w:p>
    <w:p w14:paraId="2BDA1EEC" w14:textId="5EB96D12" w:rsidR="00B00830" w:rsidRDefault="00B00830" w:rsidP="00AC3CD3">
      <w:pPr>
        <w:pStyle w:val="Paragrafoelenco"/>
        <w:numPr>
          <w:ilvl w:val="0"/>
          <w:numId w:val="21"/>
        </w:numPr>
        <w:ind w:left="714" w:hanging="357"/>
        <w:jc w:val="both"/>
        <w:rPr>
          <w:rFonts w:ascii="Bookman Old Style" w:hAnsi="Bookman Old Style"/>
        </w:rPr>
      </w:pPr>
      <w:r w:rsidRPr="00B00830">
        <w:rPr>
          <w:rFonts w:ascii="Bookman Old Style" w:hAnsi="Bookman Old Style"/>
        </w:rPr>
        <w:t>introdu</w:t>
      </w:r>
      <w:r>
        <w:rPr>
          <w:rFonts w:ascii="Bookman Old Style" w:hAnsi="Bookman Old Style"/>
        </w:rPr>
        <w:t>zione dell</w:t>
      </w:r>
      <w:r w:rsidRPr="00B00830">
        <w:rPr>
          <w:rFonts w:ascii="Bookman Old Style" w:hAnsi="Bookman Old Style"/>
        </w:rPr>
        <w:t xml:space="preserve">a confisca obbligatoria degli autoveicoli o dei beni mobili utilizzati per il compimento del reato di produzione, traffico e detenzione illeciti di </w:t>
      </w:r>
      <w:r w:rsidRPr="00AC3CD3">
        <w:rPr>
          <w:rFonts w:ascii="Bookman Old Style" w:hAnsi="Bookman Old Style"/>
          <w:b/>
          <w:bCs/>
        </w:rPr>
        <w:t>stupefacent</w:t>
      </w:r>
      <w:r w:rsidRPr="00B00830">
        <w:rPr>
          <w:rFonts w:ascii="Bookman Old Style" w:hAnsi="Bookman Old Style"/>
        </w:rPr>
        <w:t>i.</w:t>
      </w:r>
      <w:r>
        <w:rPr>
          <w:rFonts w:ascii="Bookman Old Style" w:hAnsi="Bookman Old Style"/>
        </w:rPr>
        <w:t xml:space="preserve"> (articolo 5)</w:t>
      </w:r>
    </w:p>
    <w:p w14:paraId="6344BE90" w14:textId="0ED39D53" w:rsidR="00E42305" w:rsidRDefault="00E42305" w:rsidP="00AC3CD3">
      <w:pPr>
        <w:pStyle w:val="Paragrafoelenco"/>
        <w:numPr>
          <w:ilvl w:val="0"/>
          <w:numId w:val="21"/>
        </w:numPr>
        <w:ind w:left="714" w:hanging="357"/>
        <w:jc w:val="both"/>
        <w:rPr>
          <w:rFonts w:ascii="Bookman Old Style" w:hAnsi="Bookman Old Style"/>
        </w:rPr>
      </w:pPr>
      <w:r>
        <w:rPr>
          <w:rFonts w:ascii="Bookman Old Style" w:hAnsi="Bookman Old Style"/>
        </w:rPr>
        <w:t xml:space="preserve">in materia di </w:t>
      </w:r>
      <w:r w:rsidRPr="00AC3CD3">
        <w:rPr>
          <w:rFonts w:ascii="Bookman Old Style" w:hAnsi="Bookman Old Style"/>
          <w:b/>
          <w:bCs/>
        </w:rPr>
        <w:t>sicurezza stradale</w:t>
      </w:r>
      <w:r>
        <w:rPr>
          <w:rFonts w:ascii="Bookman Old Style" w:hAnsi="Bookman Old Style"/>
        </w:rPr>
        <w:t xml:space="preserve">, per </w:t>
      </w:r>
      <w:r w:rsidRPr="00E42305">
        <w:rPr>
          <w:rFonts w:ascii="Bookman Old Style" w:hAnsi="Bookman Old Style"/>
        </w:rPr>
        <w:t>sanzionare ed elevare a fattispecie di reato, con reclusione da 6 mesi a 5 anni, la condotta di chi, violando gli obblighi connessi ai controlli stradali, si dia alla fuga mettendo a rischio l’incolumità pubblica</w:t>
      </w:r>
      <w:r w:rsidR="00A96FE4">
        <w:rPr>
          <w:rFonts w:ascii="Bookman Old Style" w:hAnsi="Bookman Old Style"/>
        </w:rPr>
        <w:t xml:space="preserve">, prevedendo anche </w:t>
      </w:r>
      <w:r w:rsidR="00A96FE4" w:rsidRPr="00E42305">
        <w:rPr>
          <w:rFonts w:ascii="Bookman Old Style" w:hAnsi="Bookman Old Style"/>
        </w:rPr>
        <w:t>l’arresto in flagranza differita</w:t>
      </w:r>
      <w:r w:rsidR="00A96FE4">
        <w:rPr>
          <w:rFonts w:ascii="Bookman Old Style" w:hAnsi="Bookman Old Style"/>
        </w:rPr>
        <w:t xml:space="preserve"> (articolo 8)</w:t>
      </w:r>
    </w:p>
    <w:p w14:paraId="6302FDA6" w14:textId="755FE439" w:rsidR="008C5009" w:rsidRDefault="008C5009" w:rsidP="00AC3CD3">
      <w:pPr>
        <w:pStyle w:val="Paragrafoelenco"/>
        <w:numPr>
          <w:ilvl w:val="0"/>
          <w:numId w:val="21"/>
        </w:numPr>
        <w:ind w:left="714" w:hanging="357"/>
        <w:jc w:val="both"/>
        <w:rPr>
          <w:rFonts w:ascii="Bookman Old Style" w:hAnsi="Bookman Old Style"/>
        </w:rPr>
      </w:pPr>
      <w:r>
        <w:rPr>
          <w:rFonts w:ascii="Bookman Old Style" w:hAnsi="Bookman Old Style"/>
        </w:rPr>
        <w:t xml:space="preserve">modificando </w:t>
      </w:r>
      <w:r w:rsidR="005E1651">
        <w:rPr>
          <w:rFonts w:ascii="Bookman Old Style" w:hAnsi="Bookman Old Style"/>
        </w:rPr>
        <w:t xml:space="preserve">il </w:t>
      </w:r>
      <w:r w:rsidR="005E1651" w:rsidRPr="00AC3CD3">
        <w:rPr>
          <w:rFonts w:ascii="Bookman Old Style" w:hAnsi="Bookman Old Style"/>
          <w:b/>
          <w:bCs/>
        </w:rPr>
        <w:t>regime sanzionato</w:t>
      </w:r>
      <w:r w:rsidR="00AA0819" w:rsidRPr="00AC3CD3">
        <w:rPr>
          <w:rFonts w:ascii="Bookman Old Style" w:hAnsi="Bookman Old Style"/>
          <w:b/>
          <w:bCs/>
        </w:rPr>
        <w:t xml:space="preserve">rio </w:t>
      </w:r>
      <w:r w:rsidRPr="00AC3CD3">
        <w:rPr>
          <w:rFonts w:ascii="Bookman Old Style" w:hAnsi="Bookman Old Style"/>
          <w:b/>
          <w:bCs/>
        </w:rPr>
        <w:t>in materia di pubbliche manifestazioni</w:t>
      </w:r>
      <w:r w:rsidR="005E1651">
        <w:rPr>
          <w:rFonts w:ascii="Bookman Old Style" w:hAnsi="Bookman Old Style"/>
        </w:rPr>
        <w:t xml:space="preserve"> </w:t>
      </w:r>
      <w:r w:rsidR="005E1651" w:rsidRPr="005E1651">
        <w:rPr>
          <w:rFonts w:ascii="Bookman Old Style" w:hAnsi="Bookman Old Style"/>
        </w:rPr>
        <w:t>intervenendo sul Testo Unico delle Leggi di Pubblica Sicurezza (TULPS) e sul codice penale</w:t>
      </w:r>
      <w:r w:rsidR="00AA0819">
        <w:rPr>
          <w:rFonts w:ascii="Bookman Old Style" w:hAnsi="Bookman Old Style"/>
        </w:rPr>
        <w:t xml:space="preserve"> (articolo 9)</w:t>
      </w:r>
    </w:p>
    <w:sectPr w:rsidR="008C5009">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0710" w14:textId="77777777" w:rsidR="00F4216B" w:rsidRDefault="00F4216B" w:rsidP="007F0124">
      <w:r>
        <w:separator/>
      </w:r>
    </w:p>
  </w:endnote>
  <w:endnote w:type="continuationSeparator" w:id="0">
    <w:p w14:paraId="4981E870" w14:textId="77777777" w:rsidR="00F4216B" w:rsidRDefault="00F4216B" w:rsidP="007F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294872"/>
      <w:docPartObj>
        <w:docPartGallery w:val="Page Numbers (Bottom of Page)"/>
        <w:docPartUnique/>
      </w:docPartObj>
    </w:sdtPr>
    <w:sdtEndPr/>
    <w:sdtContent>
      <w:p w14:paraId="6FF9C278" w14:textId="02658356" w:rsidR="007F0124" w:rsidRDefault="007F0124">
        <w:pPr>
          <w:pStyle w:val="Pidipagina"/>
          <w:jc w:val="center"/>
        </w:pPr>
        <w:r>
          <w:fldChar w:fldCharType="begin"/>
        </w:r>
        <w:r>
          <w:instrText>PAGE   \* MERGEFORMAT</w:instrText>
        </w:r>
        <w:r>
          <w:fldChar w:fldCharType="separate"/>
        </w:r>
        <w:r>
          <w:t>2</w:t>
        </w:r>
        <w:r>
          <w:fldChar w:fldCharType="end"/>
        </w:r>
      </w:p>
    </w:sdtContent>
  </w:sdt>
  <w:p w14:paraId="397C704F" w14:textId="77777777" w:rsidR="007F0124" w:rsidRDefault="007F01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13F8" w14:textId="77777777" w:rsidR="00F4216B" w:rsidRDefault="00F4216B" w:rsidP="007F0124">
      <w:r>
        <w:separator/>
      </w:r>
    </w:p>
  </w:footnote>
  <w:footnote w:type="continuationSeparator" w:id="0">
    <w:p w14:paraId="6D7B7AFF" w14:textId="77777777" w:rsidR="00F4216B" w:rsidRDefault="00F4216B" w:rsidP="007F0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023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82F67"/>
    <w:multiLevelType w:val="multilevel"/>
    <w:tmpl w:val="63B4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56CE"/>
    <w:multiLevelType w:val="hybridMultilevel"/>
    <w:tmpl w:val="33CEE34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05B48"/>
    <w:multiLevelType w:val="hybridMultilevel"/>
    <w:tmpl w:val="623ABC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B51D0B"/>
    <w:multiLevelType w:val="hybridMultilevel"/>
    <w:tmpl w:val="CF30DD36"/>
    <w:lvl w:ilvl="0" w:tplc="8B48C89E">
      <w:numFmt w:val="bullet"/>
      <w:lvlText w:val="-"/>
      <w:lvlJc w:val="left"/>
      <w:pPr>
        <w:ind w:left="720" w:hanging="360"/>
      </w:pPr>
      <w:rPr>
        <w:rFonts w:ascii="Bookman Old Style" w:eastAsiaTheme="minorHAnsi" w:hAnsi="Bookman Old Style" w:cs="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303EE"/>
    <w:multiLevelType w:val="hybridMultilevel"/>
    <w:tmpl w:val="E5C65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5149D1"/>
    <w:multiLevelType w:val="hybridMultilevel"/>
    <w:tmpl w:val="E990BC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2F18F6"/>
    <w:multiLevelType w:val="hybridMultilevel"/>
    <w:tmpl w:val="B5F641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6C19A1"/>
    <w:multiLevelType w:val="multilevel"/>
    <w:tmpl w:val="D60C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07F36"/>
    <w:multiLevelType w:val="multilevel"/>
    <w:tmpl w:val="09B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53AAF"/>
    <w:multiLevelType w:val="multilevel"/>
    <w:tmpl w:val="FAF8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D0180"/>
    <w:multiLevelType w:val="multilevel"/>
    <w:tmpl w:val="72C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72B5D"/>
    <w:multiLevelType w:val="hybridMultilevel"/>
    <w:tmpl w:val="E6C0E5C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8D4970"/>
    <w:multiLevelType w:val="multilevel"/>
    <w:tmpl w:val="2A7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44F33"/>
    <w:multiLevelType w:val="hybridMultilevel"/>
    <w:tmpl w:val="4E7ECE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152BE5"/>
    <w:multiLevelType w:val="multilevel"/>
    <w:tmpl w:val="4B5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F7BD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C9421C5"/>
    <w:multiLevelType w:val="multilevel"/>
    <w:tmpl w:val="8CE0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643F6"/>
    <w:multiLevelType w:val="multilevel"/>
    <w:tmpl w:val="FFB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64A5F"/>
    <w:multiLevelType w:val="hybridMultilevel"/>
    <w:tmpl w:val="BC5474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A732D6"/>
    <w:multiLevelType w:val="hybridMultilevel"/>
    <w:tmpl w:val="FDC63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D90EFC"/>
    <w:multiLevelType w:val="multilevel"/>
    <w:tmpl w:val="3E8C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60ABF"/>
    <w:multiLevelType w:val="hybridMultilevel"/>
    <w:tmpl w:val="0194DD04"/>
    <w:lvl w:ilvl="0" w:tplc="04100001">
      <w:start w:val="1"/>
      <w:numFmt w:val="bullet"/>
      <w:lvlText w:val=""/>
      <w:lvlJc w:val="left"/>
      <w:pPr>
        <w:ind w:left="748" w:hanging="360"/>
      </w:pPr>
      <w:rPr>
        <w:rFonts w:ascii="Symbol" w:hAnsi="Symbo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23" w15:restartNumberingAfterBreak="0">
    <w:nsid w:val="7CB919D3"/>
    <w:multiLevelType w:val="multilevel"/>
    <w:tmpl w:val="EFB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F3EF8"/>
    <w:multiLevelType w:val="hybridMultilevel"/>
    <w:tmpl w:val="A96E9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4D115A"/>
    <w:multiLevelType w:val="hybridMultilevel"/>
    <w:tmpl w:val="BA2C9A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78214930">
    <w:abstractNumId w:val="24"/>
  </w:num>
  <w:num w:numId="2" w16cid:durableId="118305664">
    <w:abstractNumId w:val="22"/>
  </w:num>
  <w:num w:numId="3" w16cid:durableId="22097607">
    <w:abstractNumId w:val="14"/>
  </w:num>
  <w:num w:numId="4" w16cid:durableId="350423612">
    <w:abstractNumId w:val="16"/>
  </w:num>
  <w:num w:numId="5" w16cid:durableId="1334643956">
    <w:abstractNumId w:val="3"/>
  </w:num>
  <w:num w:numId="6" w16cid:durableId="1685129330">
    <w:abstractNumId w:val="12"/>
  </w:num>
  <w:num w:numId="7" w16cid:durableId="267127708">
    <w:abstractNumId w:val="6"/>
  </w:num>
  <w:num w:numId="8" w16cid:durableId="107434581">
    <w:abstractNumId w:val="19"/>
  </w:num>
  <w:num w:numId="9" w16cid:durableId="250047526">
    <w:abstractNumId w:val="15"/>
  </w:num>
  <w:num w:numId="10" w16cid:durableId="270824021">
    <w:abstractNumId w:val="10"/>
  </w:num>
  <w:num w:numId="11" w16cid:durableId="149518489">
    <w:abstractNumId w:val="1"/>
  </w:num>
  <w:num w:numId="12" w16cid:durableId="659237014">
    <w:abstractNumId w:val="18"/>
  </w:num>
  <w:num w:numId="13" w16cid:durableId="1069034897">
    <w:abstractNumId w:val="13"/>
  </w:num>
  <w:num w:numId="14" w16cid:durableId="918294991">
    <w:abstractNumId w:val="17"/>
  </w:num>
  <w:num w:numId="15" w16cid:durableId="683828662">
    <w:abstractNumId w:val="21"/>
  </w:num>
  <w:num w:numId="16" w16cid:durableId="305206547">
    <w:abstractNumId w:val="11"/>
  </w:num>
  <w:num w:numId="17" w16cid:durableId="1035617254">
    <w:abstractNumId w:val="9"/>
  </w:num>
  <w:num w:numId="18" w16cid:durableId="1114323229">
    <w:abstractNumId w:val="23"/>
  </w:num>
  <w:num w:numId="19" w16cid:durableId="1600604192">
    <w:abstractNumId w:val="8"/>
  </w:num>
  <w:num w:numId="20" w16cid:durableId="2094277936">
    <w:abstractNumId w:val="20"/>
  </w:num>
  <w:num w:numId="21" w16cid:durableId="658314588">
    <w:abstractNumId w:val="5"/>
  </w:num>
  <w:num w:numId="22" w16cid:durableId="847713065">
    <w:abstractNumId w:val="25"/>
  </w:num>
  <w:num w:numId="23" w16cid:durableId="1727143223">
    <w:abstractNumId w:val="0"/>
  </w:num>
  <w:num w:numId="24" w16cid:durableId="677655109">
    <w:abstractNumId w:val="4"/>
  </w:num>
  <w:num w:numId="25" w16cid:durableId="121731437">
    <w:abstractNumId w:val="7"/>
  </w:num>
  <w:num w:numId="26" w16cid:durableId="103049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DB"/>
    <w:rsid w:val="00002A9E"/>
    <w:rsid w:val="00005CC1"/>
    <w:rsid w:val="0003263F"/>
    <w:rsid w:val="000329B4"/>
    <w:rsid w:val="000422A8"/>
    <w:rsid w:val="00053206"/>
    <w:rsid w:val="00054FB5"/>
    <w:rsid w:val="00055B1A"/>
    <w:rsid w:val="00061A13"/>
    <w:rsid w:val="00064E16"/>
    <w:rsid w:val="000662AE"/>
    <w:rsid w:val="0006797E"/>
    <w:rsid w:val="0007007B"/>
    <w:rsid w:val="00071D52"/>
    <w:rsid w:val="000725A6"/>
    <w:rsid w:val="000831F6"/>
    <w:rsid w:val="00083E1F"/>
    <w:rsid w:val="000847AD"/>
    <w:rsid w:val="000855E5"/>
    <w:rsid w:val="000873FC"/>
    <w:rsid w:val="00090687"/>
    <w:rsid w:val="00090AA7"/>
    <w:rsid w:val="00092CB8"/>
    <w:rsid w:val="00093D25"/>
    <w:rsid w:val="000951B9"/>
    <w:rsid w:val="00095D79"/>
    <w:rsid w:val="000970D6"/>
    <w:rsid w:val="000A65F0"/>
    <w:rsid w:val="000B247E"/>
    <w:rsid w:val="000B468C"/>
    <w:rsid w:val="000B582B"/>
    <w:rsid w:val="000B735C"/>
    <w:rsid w:val="000B7577"/>
    <w:rsid w:val="000B785A"/>
    <w:rsid w:val="000C0966"/>
    <w:rsid w:val="000C1229"/>
    <w:rsid w:val="000C12E8"/>
    <w:rsid w:val="000C5A73"/>
    <w:rsid w:val="000D0D7D"/>
    <w:rsid w:val="000D0E7B"/>
    <w:rsid w:val="000D3423"/>
    <w:rsid w:val="000D6167"/>
    <w:rsid w:val="000D630E"/>
    <w:rsid w:val="000E57AE"/>
    <w:rsid w:val="000E72A0"/>
    <w:rsid w:val="000E789F"/>
    <w:rsid w:val="00100247"/>
    <w:rsid w:val="00100D84"/>
    <w:rsid w:val="001011C4"/>
    <w:rsid w:val="00101912"/>
    <w:rsid w:val="001027AA"/>
    <w:rsid w:val="00103925"/>
    <w:rsid w:val="0010442E"/>
    <w:rsid w:val="001061AB"/>
    <w:rsid w:val="001102C4"/>
    <w:rsid w:val="00112AFC"/>
    <w:rsid w:val="001215C7"/>
    <w:rsid w:val="00122389"/>
    <w:rsid w:val="00130101"/>
    <w:rsid w:val="00131862"/>
    <w:rsid w:val="00155D41"/>
    <w:rsid w:val="00180ED0"/>
    <w:rsid w:val="001865E2"/>
    <w:rsid w:val="001870A7"/>
    <w:rsid w:val="00187A43"/>
    <w:rsid w:val="00192B63"/>
    <w:rsid w:val="00192D47"/>
    <w:rsid w:val="001A0403"/>
    <w:rsid w:val="001A0509"/>
    <w:rsid w:val="001A0D5E"/>
    <w:rsid w:val="001A77F2"/>
    <w:rsid w:val="001B0DDA"/>
    <w:rsid w:val="001B0E6E"/>
    <w:rsid w:val="001B3F1F"/>
    <w:rsid w:val="001B4EBE"/>
    <w:rsid w:val="001E01C7"/>
    <w:rsid w:val="001E053C"/>
    <w:rsid w:val="001E3DA7"/>
    <w:rsid w:val="001F34BD"/>
    <w:rsid w:val="001F361F"/>
    <w:rsid w:val="001F5ECD"/>
    <w:rsid w:val="001F6801"/>
    <w:rsid w:val="0020418B"/>
    <w:rsid w:val="00217A13"/>
    <w:rsid w:val="00220E36"/>
    <w:rsid w:val="00230FAE"/>
    <w:rsid w:val="00241EFC"/>
    <w:rsid w:val="0024304D"/>
    <w:rsid w:val="00245CD1"/>
    <w:rsid w:val="002475C0"/>
    <w:rsid w:val="0025104D"/>
    <w:rsid w:val="002511A9"/>
    <w:rsid w:val="00251302"/>
    <w:rsid w:val="0025140D"/>
    <w:rsid w:val="00257701"/>
    <w:rsid w:val="002650F2"/>
    <w:rsid w:val="00266A4D"/>
    <w:rsid w:val="00271131"/>
    <w:rsid w:val="00271208"/>
    <w:rsid w:val="00271FBB"/>
    <w:rsid w:val="002762CD"/>
    <w:rsid w:val="0028383C"/>
    <w:rsid w:val="002905D6"/>
    <w:rsid w:val="0029116B"/>
    <w:rsid w:val="002A2326"/>
    <w:rsid w:val="002A49DF"/>
    <w:rsid w:val="002A662D"/>
    <w:rsid w:val="002B1325"/>
    <w:rsid w:val="002B17F7"/>
    <w:rsid w:val="002C1D09"/>
    <w:rsid w:val="002C59AA"/>
    <w:rsid w:val="002D3B0D"/>
    <w:rsid w:val="002D44B0"/>
    <w:rsid w:val="002E1BE3"/>
    <w:rsid w:val="002E62AA"/>
    <w:rsid w:val="002E7D74"/>
    <w:rsid w:val="002F5007"/>
    <w:rsid w:val="00305893"/>
    <w:rsid w:val="003065DD"/>
    <w:rsid w:val="00332D08"/>
    <w:rsid w:val="003365F6"/>
    <w:rsid w:val="003426D6"/>
    <w:rsid w:val="0034404E"/>
    <w:rsid w:val="00345023"/>
    <w:rsid w:val="0035202A"/>
    <w:rsid w:val="00352365"/>
    <w:rsid w:val="003544CF"/>
    <w:rsid w:val="003668E4"/>
    <w:rsid w:val="00371860"/>
    <w:rsid w:val="003738C0"/>
    <w:rsid w:val="0038339B"/>
    <w:rsid w:val="003843CD"/>
    <w:rsid w:val="00391D58"/>
    <w:rsid w:val="003B5584"/>
    <w:rsid w:val="003C18E5"/>
    <w:rsid w:val="003C2133"/>
    <w:rsid w:val="003C5178"/>
    <w:rsid w:val="003C6716"/>
    <w:rsid w:val="003D3B0D"/>
    <w:rsid w:val="003E6143"/>
    <w:rsid w:val="003F29FE"/>
    <w:rsid w:val="003F3BD0"/>
    <w:rsid w:val="003F5869"/>
    <w:rsid w:val="003F6FC1"/>
    <w:rsid w:val="004073F0"/>
    <w:rsid w:val="00413909"/>
    <w:rsid w:val="004363C1"/>
    <w:rsid w:val="00441188"/>
    <w:rsid w:val="0044523D"/>
    <w:rsid w:val="00452DC5"/>
    <w:rsid w:val="00453B83"/>
    <w:rsid w:val="00454536"/>
    <w:rsid w:val="004558EE"/>
    <w:rsid w:val="00455E90"/>
    <w:rsid w:val="00460D02"/>
    <w:rsid w:val="00463643"/>
    <w:rsid w:val="00466E7E"/>
    <w:rsid w:val="004729C9"/>
    <w:rsid w:val="00472C94"/>
    <w:rsid w:val="00485010"/>
    <w:rsid w:val="004912DD"/>
    <w:rsid w:val="00495B1C"/>
    <w:rsid w:val="00495E7A"/>
    <w:rsid w:val="004B0984"/>
    <w:rsid w:val="004C4529"/>
    <w:rsid w:val="004C4F88"/>
    <w:rsid w:val="004C7BD3"/>
    <w:rsid w:val="004D126F"/>
    <w:rsid w:val="004D4372"/>
    <w:rsid w:val="004D6B7A"/>
    <w:rsid w:val="004E6255"/>
    <w:rsid w:val="004E7D92"/>
    <w:rsid w:val="004F22EB"/>
    <w:rsid w:val="004F2877"/>
    <w:rsid w:val="004F2FE7"/>
    <w:rsid w:val="005062E7"/>
    <w:rsid w:val="00513CA9"/>
    <w:rsid w:val="00520187"/>
    <w:rsid w:val="00520BA8"/>
    <w:rsid w:val="005243F2"/>
    <w:rsid w:val="0052656F"/>
    <w:rsid w:val="00527186"/>
    <w:rsid w:val="005309D8"/>
    <w:rsid w:val="00531532"/>
    <w:rsid w:val="00533D14"/>
    <w:rsid w:val="0053635F"/>
    <w:rsid w:val="0053796C"/>
    <w:rsid w:val="005429DF"/>
    <w:rsid w:val="0056248B"/>
    <w:rsid w:val="00567F21"/>
    <w:rsid w:val="00571D82"/>
    <w:rsid w:val="005770FB"/>
    <w:rsid w:val="005802BC"/>
    <w:rsid w:val="00582A02"/>
    <w:rsid w:val="0058360D"/>
    <w:rsid w:val="00586394"/>
    <w:rsid w:val="005867B5"/>
    <w:rsid w:val="00592CA8"/>
    <w:rsid w:val="005A1208"/>
    <w:rsid w:val="005A1472"/>
    <w:rsid w:val="005A1F31"/>
    <w:rsid w:val="005B2925"/>
    <w:rsid w:val="005B2E9E"/>
    <w:rsid w:val="005C765A"/>
    <w:rsid w:val="005D0564"/>
    <w:rsid w:val="005D1EAC"/>
    <w:rsid w:val="005D5CB9"/>
    <w:rsid w:val="005E1651"/>
    <w:rsid w:val="005E32D5"/>
    <w:rsid w:val="005E3C7F"/>
    <w:rsid w:val="005F2DC2"/>
    <w:rsid w:val="005F332B"/>
    <w:rsid w:val="005F6E4F"/>
    <w:rsid w:val="005F6F1F"/>
    <w:rsid w:val="00600781"/>
    <w:rsid w:val="006111D7"/>
    <w:rsid w:val="0061276E"/>
    <w:rsid w:val="0062341E"/>
    <w:rsid w:val="0063148F"/>
    <w:rsid w:val="00634A10"/>
    <w:rsid w:val="00641FA3"/>
    <w:rsid w:val="0064458B"/>
    <w:rsid w:val="006450F8"/>
    <w:rsid w:val="00645262"/>
    <w:rsid w:val="00645DD2"/>
    <w:rsid w:val="00650031"/>
    <w:rsid w:val="006517DA"/>
    <w:rsid w:val="00651C89"/>
    <w:rsid w:val="0065422A"/>
    <w:rsid w:val="00654AFF"/>
    <w:rsid w:val="00655439"/>
    <w:rsid w:val="00660F50"/>
    <w:rsid w:val="00663D1D"/>
    <w:rsid w:val="00666087"/>
    <w:rsid w:val="00671268"/>
    <w:rsid w:val="0068504A"/>
    <w:rsid w:val="006A0908"/>
    <w:rsid w:val="006A65B9"/>
    <w:rsid w:val="006B00F4"/>
    <w:rsid w:val="006C196F"/>
    <w:rsid w:val="006D0470"/>
    <w:rsid w:val="006D238C"/>
    <w:rsid w:val="006E0651"/>
    <w:rsid w:val="006E0BB0"/>
    <w:rsid w:val="006E6BB7"/>
    <w:rsid w:val="006E7541"/>
    <w:rsid w:val="006F1478"/>
    <w:rsid w:val="006F56B4"/>
    <w:rsid w:val="006F74B5"/>
    <w:rsid w:val="007035AB"/>
    <w:rsid w:val="0070677A"/>
    <w:rsid w:val="00712A51"/>
    <w:rsid w:val="00720A34"/>
    <w:rsid w:val="007267F1"/>
    <w:rsid w:val="00727304"/>
    <w:rsid w:val="00734095"/>
    <w:rsid w:val="00741457"/>
    <w:rsid w:val="007433DB"/>
    <w:rsid w:val="007530CA"/>
    <w:rsid w:val="00761F06"/>
    <w:rsid w:val="00764CBB"/>
    <w:rsid w:val="00772068"/>
    <w:rsid w:val="0077385E"/>
    <w:rsid w:val="0077427D"/>
    <w:rsid w:val="0077566A"/>
    <w:rsid w:val="007846D8"/>
    <w:rsid w:val="00793D92"/>
    <w:rsid w:val="00793F2E"/>
    <w:rsid w:val="00795E18"/>
    <w:rsid w:val="007A20B5"/>
    <w:rsid w:val="007A2BF8"/>
    <w:rsid w:val="007A36E0"/>
    <w:rsid w:val="007A7CEB"/>
    <w:rsid w:val="007A7E93"/>
    <w:rsid w:val="007B3B72"/>
    <w:rsid w:val="007B4EA1"/>
    <w:rsid w:val="007C7C0D"/>
    <w:rsid w:val="007D1A12"/>
    <w:rsid w:val="007D288D"/>
    <w:rsid w:val="007E64CE"/>
    <w:rsid w:val="007F0124"/>
    <w:rsid w:val="007F2609"/>
    <w:rsid w:val="007F7128"/>
    <w:rsid w:val="00803FC3"/>
    <w:rsid w:val="008047A0"/>
    <w:rsid w:val="00806CF3"/>
    <w:rsid w:val="0080780E"/>
    <w:rsid w:val="0081266C"/>
    <w:rsid w:val="00822149"/>
    <w:rsid w:val="00825D12"/>
    <w:rsid w:val="00827BD5"/>
    <w:rsid w:val="00831E3D"/>
    <w:rsid w:val="008421ED"/>
    <w:rsid w:val="00847B00"/>
    <w:rsid w:val="00851D0F"/>
    <w:rsid w:val="00852C79"/>
    <w:rsid w:val="00855FE3"/>
    <w:rsid w:val="00857589"/>
    <w:rsid w:val="008604D6"/>
    <w:rsid w:val="0086285F"/>
    <w:rsid w:val="00862C6E"/>
    <w:rsid w:val="0086381C"/>
    <w:rsid w:val="0086595B"/>
    <w:rsid w:val="00871099"/>
    <w:rsid w:val="00872A72"/>
    <w:rsid w:val="00872D09"/>
    <w:rsid w:val="00873723"/>
    <w:rsid w:val="00874CC9"/>
    <w:rsid w:val="0088302D"/>
    <w:rsid w:val="00886876"/>
    <w:rsid w:val="0088745D"/>
    <w:rsid w:val="0089194E"/>
    <w:rsid w:val="008A1DB4"/>
    <w:rsid w:val="008A4312"/>
    <w:rsid w:val="008B14A7"/>
    <w:rsid w:val="008C19C9"/>
    <w:rsid w:val="008C2EDA"/>
    <w:rsid w:val="008C5009"/>
    <w:rsid w:val="008D5EE3"/>
    <w:rsid w:val="008D66FE"/>
    <w:rsid w:val="008E2AAB"/>
    <w:rsid w:val="008F3E3A"/>
    <w:rsid w:val="00900E86"/>
    <w:rsid w:val="00905905"/>
    <w:rsid w:val="0090623B"/>
    <w:rsid w:val="00920DBE"/>
    <w:rsid w:val="00922967"/>
    <w:rsid w:val="0093139C"/>
    <w:rsid w:val="00931D7C"/>
    <w:rsid w:val="00932E2E"/>
    <w:rsid w:val="00935D1A"/>
    <w:rsid w:val="00945532"/>
    <w:rsid w:val="0095287C"/>
    <w:rsid w:val="00952E01"/>
    <w:rsid w:val="00955A93"/>
    <w:rsid w:val="009567EF"/>
    <w:rsid w:val="00960966"/>
    <w:rsid w:val="00977359"/>
    <w:rsid w:val="00980A10"/>
    <w:rsid w:val="00980EB4"/>
    <w:rsid w:val="00983B19"/>
    <w:rsid w:val="009849E6"/>
    <w:rsid w:val="00993202"/>
    <w:rsid w:val="00994417"/>
    <w:rsid w:val="00994A63"/>
    <w:rsid w:val="0099518E"/>
    <w:rsid w:val="0099556F"/>
    <w:rsid w:val="0099728F"/>
    <w:rsid w:val="009A5C4C"/>
    <w:rsid w:val="009A7FD3"/>
    <w:rsid w:val="009B67E0"/>
    <w:rsid w:val="009B7AE7"/>
    <w:rsid w:val="009C1B82"/>
    <w:rsid w:val="009C2538"/>
    <w:rsid w:val="009C3AF1"/>
    <w:rsid w:val="009C5C1F"/>
    <w:rsid w:val="009D4C6C"/>
    <w:rsid w:val="009E08CF"/>
    <w:rsid w:val="009E38E9"/>
    <w:rsid w:val="009E40A2"/>
    <w:rsid w:val="009F080C"/>
    <w:rsid w:val="009F3E3B"/>
    <w:rsid w:val="00A003FE"/>
    <w:rsid w:val="00A077DF"/>
    <w:rsid w:val="00A1207D"/>
    <w:rsid w:val="00A1300A"/>
    <w:rsid w:val="00A15DB0"/>
    <w:rsid w:val="00A17A0F"/>
    <w:rsid w:val="00A20051"/>
    <w:rsid w:val="00A2141D"/>
    <w:rsid w:val="00A21AA0"/>
    <w:rsid w:val="00A23E12"/>
    <w:rsid w:val="00A44A26"/>
    <w:rsid w:val="00A55BAF"/>
    <w:rsid w:val="00A55EDA"/>
    <w:rsid w:val="00A7310A"/>
    <w:rsid w:val="00A9513C"/>
    <w:rsid w:val="00A96123"/>
    <w:rsid w:val="00A96864"/>
    <w:rsid w:val="00A96FE4"/>
    <w:rsid w:val="00A971FB"/>
    <w:rsid w:val="00AA0819"/>
    <w:rsid w:val="00AA20FC"/>
    <w:rsid w:val="00AA285C"/>
    <w:rsid w:val="00AA737F"/>
    <w:rsid w:val="00AB5DE1"/>
    <w:rsid w:val="00AB7B09"/>
    <w:rsid w:val="00AC16DC"/>
    <w:rsid w:val="00AC3CD3"/>
    <w:rsid w:val="00AE15CF"/>
    <w:rsid w:val="00AE2381"/>
    <w:rsid w:val="00AE3787"/>
    <w:rsid w:val="00AE5F0B"/>
    <w:rsid w:val="00AE6492"/>
    <w:rsid w:val="00AE7408"/>
    <w:rsid w:val="00AF168B"/>
    <w:rsid w:val="00AF42E4"/>
    <w:rsid w:val="00AF5AA2"/>
    <w:rsid w:val="00AF5CC4"/>
    <w:rsid w:val="00AF6D4D"/>
    <w:rsid w:val="00AF771E"/>
    <w:rsid w:val="00AF79BF"/>
    <w:rsid w:val="00B00421"/>
    <w:rsid w:val="00B00830"/>
    <w:rsid w:val="00B01219"/>
    <w:rsid w:val="00B01549"/>
    <w:rsid w:val="00B11C6D"/>
    <w:rsid w:val="00B1351E"/>
    <w:rsid w:val="00B2128E"/>
    <w:rsid w:val="00B224C5"/>
    <w:rsid w:val="00B411D0"/>
    <w:rsid w:val="00B42D74"/>
    <w:rsid w:val="00B42E27"/>
    <w:rsid w:val="00B52386"/>
    <w:rsid w:val="00B614EC"/>
    <w:rsid w:val="00B72175"/>
    <w:rsid w:val="00B73811"/>
    <w:rsid w:val="00B73E9E"/>
    <w:rsid w:val="00B743AB"/>
    <w:rsid w:val="00B859F1"/>
    <w:rsid w:val="00B915EF"/>
    <w:rsid w:val="00B924F1"/>
    <w:rsid w:val="00B92D56"/>
    <w:rsid w:val="00B92E3D"/>
    <w:rsid w:val="00B96328"/>
    <w:rsid w:val="00BA32E4"/>
    <w:rsid w:val="00BA573D"/>
    <w:rsid w:val="00BB137A"/>
    <w:rsid w:val="00BB7EEA"/>
    <w:rsid w:val="00BC5A39"/>
    <w:rsid w:val="00BC6DA9"/>
    <w:rsid w:val="00BD0E42"/>
    <w:rsid w:val="00BD6669"/>
    <w:rsid w:val="00BE784B"/>
    <w:rsid w:val="00BF169E"/>
    <w:rsid w:val="00BF6715"/>
    <w:rsid w:val="00C00F3C"/>
    <w:rsid w:val="00C0113E"/>
    <w:rsid w:val="00C027BF"/>
    <w:rsid w:val="00C03D01"/>
    <w:rsid w:val="00C04382"/>
    <w:rsid w:val="00C05360"/>
    <w:rsid w:val="00C05649"/>
    <w:rsid w:val="00C153B9"/>
    <w:rsid w:val="00C1770A"/>
    <w:rsid w:val="00C20D8E"/>
    <w:rsid w:val="00C274EB"/>
    <w:rsid w:val="00C2787F"/>
    <w:rsid w:val="00C4545E"/>
    <w:rsid w:val="00C5786D"/>
    <w:rsid w:val="00C57AB1"/>
    <w:rsid w:val="00C60F62"/>
    <w:rsid w:val="00C622E6"/>
    <w:rsid w:val="00C62408"/>
    <w:rsid w:val="00C63B41"/>
    <w:rsid w:val="00C64A32"/>
    <w:rsid w:val="00C70CC5"/>
    <w:rsid w:val="00C736A6"/>
    <w:rsid w:val="00C74A30"/>
    <w:rsid w:val="00C82740"/>
    <w:rsid w:val="00C94641"/>
    <w:rsid w:val="00C95150"/>
    <w:rsid w:val="00C95B23"/>
    <w:rsid w:val="00CA03CF"/>
    <w:rsid w:val="00CA4BA0"/>
    <w:rsid w:val="00CB54E8"/>
    <w:rsid w:val="00CD60AC"/>
    <w:rsid w:val="00CE1635"/>
    <w:rsid w:val="00CE53A7"/>
    <w:rsid w:val="00CF1B48"/>
    <w:rsid w:val="00CF511A"/>
    <w:rsid w:val="00CF6C5C"/>
    <w:rsid w:val="00D140C9"/>
    <w:rsid w:val="00D15209"/>
    <w:rsid w:val="00D15D9C"/>
    <w:rsid w:val="00D219A5"/>
    <w:rsid w:val="00D2259C"/>
    <w:rsid w:val="00D22B93"/>
    <w:rsid w:val="00D23C05"/>
    <w:rsid w:val="00D26E51"/>
    <w:rsid w:val="00D36530"/>
    <w:rsid w:val="00D44E56"/>
    <w:rsid w:val="00D4777F"/>
    <w:rsid w:val="00D533BB"/>
    <w:rsid w:val="00D65652"/>
    <w:rsid w:val="00D65EA0"/>
    <w:rsid w:val="00D73F79"/>
    <w:rsid w:val="00D81FD7"/>
    <w:rsid w:val="00D9667B"/>
    <w:rsid w:val="00DA25A7"/>
    <w:rsid w:val="00DA2F8B"/>
    <w:rsid w:val="00DB54A3"/>
    <w:rsid w:val="00DB6525"/>
    <w:rsid w:val="00DB6E3A"/>
    <w:rsid w:val="00DB774B"/>
    <w:rsid w:val="00DC156F"/>
    <w:rsid w:val="00DC2D0B"/>
    <w:rsid w:val="00DC4556"/>
    <w:rsid w:val="00DD1006"/>
    <w:rsid w:val="00DD2A51"/>
    <w:rsid w:val="00DF0012"/>
    <w:rsid w:val="00DF0080"/>
    <w:rsid w:val="00DF0C1F"/>
    <w:rsid w:val="00DF5914"/>
    <w:rsid w:val="00E2048F"/>
    <w:rsid w:val="00E208D0"/>
    <w:rsid w:val="00E23D48"/>
    <w:rsid w:val="00E2759B"/>
    <w:rsid w:val="00E33E1C"/>
    <w:rsid w:val="00E3694F"/>
    <w:rsid w:val="00E41136"/>
    <w:rsid w:val="00E42305"/>
    <w:rsid w:val="00E512F2"/>
    <w:rsid w:val="00E53D13"/>
    <w:rsid w:val="00E5647C"/>
    <w:rsid w:val="00E60A2D"/>
    <w:rsid w:val="00E75828"/>
    <w:rsid w:val="00E762F9"/>
    <w:rsid w:val="00E763EF"/>
    <w:rsid w:val="00E86580"/>
    <w:rsid w:val="00E907F6"/>
    <w:rsid w:val="00EA59B8"/>
    <w:rsid w:val="00EB50EC"/>
    <w:rsid w:val="00EC0703"/>
    <w:rsid w:val="00EC11A8"/>
    <w:rsid w:val="00EC2DF9"/>
    <w:rsid w:val="00ED00AA"/>
    <w:rsid w:val="00ED2498"/>
    <w:rsid w:val="00ED5EE5"/>
    <w:rsid w:val="00EE0735"/>
    <w:rsid w:val="00EE6E64"/>
    <w:rsid w:val="00EF1BB5"/>
    <w:rsid w:val="00EF37AF"/>
    <w:rsid w:val="00EF3A43"/>
    <w:rsid w:val="00EF3DD2"/>
    <w:rsid w:val="00EF40BB"/>
    <w:rsid w:val="00F030AF"/>
    <w:rsid w:val="00F070E4"/>
    <w:rsid w:val="00F118EB"/>
    <w:rsid w:val="00F124C6"/>
    <w:rsid w:val="00F12E5A"/>
    <w:rsid w:val="00F26378"/>
    <w:rsid w:val="00F264EF"/>
    <w:rsid w:val="00F27662"/>
    <w:rsid w:val="00F308CF"/>
    <w:rsid w:val="00F32D14"/>
    <w:rsid w:val="00F32D6D"/>
    <w:rsid w:val="00F364A0"/>
    <w:rsid w:val="00F37385"/>
    <w:rsid w:val="00F3776F"/>
    <w:rsid w:val="00F4216B"/>
    <w:rsid w:val="00F44B5D"/>
    <w:rsid w:val="00F45F86"/>
    <w:rsid w:val="00F5040D"/>
    <w:rsid w:val="00F52806"/>
    <w:rsid w:val="00F531E8"/>
    <w:rsid w:val="00F53D02"/>
    <w:rsid w:val="00F55701"/>
    <w:rsid w:val="00F55FDF"/>
    <w:rsid w:val="00F57F2D"/>
    <w:rsid w:val="00F60E18"/>
    <w:rsid w:val="00F636BB"/>
    <w:rsid w:val="00F70786"/>
    <w:rsid w:val="00F70DE2"/>
    <w:rsid w:val="00F75434"/>
    <w:rsid w:val="00F76867"/>
    <w:rsid w:val="00F76E86"/>
    <w:rsid w:val="00F82A69"/>
    <w:rsid w:val="00F900F9"/>
    <w:rsid w:val="00F96AAA"/>
    <w:rsid w:val="00FA03FF"/>
    <w:rsid w:val="00FA37E7"/>
    <w:rsid w:val="00FA662C"/>
    <w:rsid w:val="00FB103B"/>
    <w:rsid w:val="00FB21DE"/>
    <w:rsid w:val="00FB42FC"/>
    <w:rsid w:val="00FB49C8"/>
    <w:rsid w:val="00FC5E0E"/>
    <w:rsid w:val="00FD12A3"/>
    <w:rsid w:val="00FD4D60"/>
    <w:rsid w:val="00FD7530"/>
    <w:rsid w:val="00FE502D"/>
    <w:rsid w:val="00FF1CBF"/>
    <w:rsid w:val="00FF32DD"/>
    <w:rsid w:val="00FF4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D4C2"/>
  <w15:chartTrackingRefBased/>
  <w15:docId w15:val="{AA587027-DD88-4C08-8F48-683177CA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33DB"/>
    <w:pPr>
      <w:spacing w:after="0" w:line="240" w:lineRule="auto"/>
    </w:pPr>
    <w:rPr>
      <w:rFonts w:ascii="Aptos" w:hAnsi="Aptos" w:cs="Aptos"/>
      <w:kern w:val="0"/>
    </w:rPr>
  </w:style>
  <w:style w:type="paragraph" w:styleId="Titolo1">
    <w:name w:val="heading 1"/>
    <w:basedOn w:val="Normale"/>
    <w:next w:val="Normale"/>
    <w:link w:val="Titolo1Carattere"/>
    <w:uiPriority w:val="9"/>
    <w:qFormat/>
    <w:rsid w:val="00743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43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433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433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433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433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33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33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33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33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33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33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33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33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33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33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33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33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33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33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33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33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33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33DB"/>
    <w:rPr>
      <w:i/>
      <w:iCs/>
      <w:color w:val="404040" w:themeColor="text1" w:themeTint="BF"/>
    </w:rPr>
  </w:style>
  <w:style w:type="paragraph" w:styleId="Paragrafoelenco">
    <w:name w:val="List Paragraph"/>
    <w:basedOn w:val="Normale"/>
    <w:uiPriority w:val="34"/>
    <w:qFormat/>
    <w:rsid w:val="007433DB"/>
    <w:pPr>
      <w:ind w:left="720"/>
      <w:contextualSpacing/>
    </w:pPr>
  </w:style>
  <w:style w:type="character" w:styleId="Enfasiintensa">
    <w:name w:val="Intense Emphasis"/>
    <w:basedOn w:val="Carpredefinitoparagrafo"/>
    <w:uiPriority w:val="21"/>
    <w:qFormat/>
    <w:rsid w:val="007433DB"/>
    <w:rPr>
      <w:i/>
      <w:iCs/>
      <w:color w:val="0F4761" w:themeColor="accent1" w:themeShade="BF"/>
    </w:rPr>
  </w:style>
  <w:style w:type="paragraph" w:styleId="Citazioneintensa">
    <w:name w:val="Intense Quote"/>
    <w:basedOn w:val="Normale"/>
    <w:next w:val="Normale"/>
    <w:link w:val="CitazioneintensaCarattere"/>
    <w:uiPriority w:val="30"/>
    <w:qFormat/>
    <w:rsid w:val="00743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433DB"/>
    <w:rPr>
      <w:i/>
      <w:iCs/>
      <w:color w:val="0F4761" w:themeColor="accent1" w:themeShade="BF"/>
    </w:rPr>
  </w:style>
  <w:style w:type="character" w:styleId="Riferimentointenso">
    <w:name w:val="Intense Reference"/>
    <w:basedOn w:val="Carpredefinitoparagrafo"/>
    <w:uiPriority w:val="32"/>
    <w:qFormat/>
    <w:rsid w:val="007433DB"/>
    <w:rPr>
      <w:b/>
      <w:bCs/>
      <w:smallCaps/>
      <w:color w:val="0F4761" w:themeColor="accent1" w:themeShade="BF"/>
      <w:spacing w:val="5"/>
    </w:rPr>
  </w:style>
  <w:style w:type="character" w:styleId="Collegamentoipertestuale">
    <w:name w:val="Hyperlink"/>
    <w:basedOn w:val="Carpredefinitoparagrafo"/>
    <w:uiPriority w:val="99"/>
    <w:semiHidden/>
    <w:unhideWhenUsed/>
    <w:rsid w:val="007433DB"/>
    <w:rPr>
      <w:color w:val="467886"/>
      <w:u w:val="single"/>
    </w:rPr>
  </w:style>
  <w:style w:type="paragraph" w:styleId="NormaleWeb">
    <w:name w:val="Normal (Web)"/>
    <w:basedOn w:val="Normale"/>
    <w:uiPriority w:val="99"/>
    <w:semiHidden/>
    <w:unhideWhenUsed/>
    <w:rsid w:val="007433DB"/>
    <w:pPr>
      <w:spacing w:before="100" w:beforeAutospacing="1" w:after="100" w:afterAutospacing="1"/>
    </w:pPr>
    <w:rPr>
      <w:sz w:val="24"/>
      <w:szCs w:val="24"/>
      <w:lang w:eastAsia="it-IT"/>
      <w14:ligatures w14:val="none"/>
    </w:rPr>
  </w:style>
  <w:style w:type="paragraph" w:customStyle="1" w:styleId="firm">
    <w:name w:val="firm"/>
    <w:basedOn w:val="Normale"/>
    <w:uiPriority w:val="99"/>
    <w:semiHidden/>
    <w:rsid w:val="007433DB"/>
    <w:pPr>
      <w:spacing w:before="100" w:beforeAutospacing="1" w:after="100" w:afterAutospacing="1"/>
    </w:pPr>
    <w:rPr>
      <w:rFonts w:ascii="Times New Roman" w:hAnsi="Times New Roman" w:cs="Times New Roman"/>
      <w:sz w:val="24"/>
      <w:szCs w:val="24"/>
      <w:lang w:eastAsia="it-IT"/>
      <w14:ligatures w14:val="none"/>
    </w:rPr>
  </w:style>
  <w:style w:type="paragraph" w:customStyle="1" w:styleId="emen">
    <w:name w:val="emen"/>
    <w:basedOn w:val="Normale"/>
    <w:uiPriority w:val="99"/>
    <w:semiHidden/>
    <w:rsid w:val="007433DB"/>
    <w:pPr>
      <w:spacing w:before="100" w:beforeAutospacing="1" w:after="100" w:afterAutospacing="1"/>
    </w:pPr>
    <w:rPr>
      <w:rFonts w:ascii="Times New Roman" w:hAnsi="Times New Roman" w:cs="Times New Roman"/>
      <w:sz w:val="24"/>
      <w:szCs w:val="24"/>
      <w:lang w:eastAsia="it-IT"/>
      <w14:ligatures w14:val="none"/>
    </w:rPr>
  </w:style>
  <w:style w:type="paragraph" w:customStyle="1" w:styleId="a">
    <w:name w:val="a"/>
    <w:basedOn w:val="Normale"/>
    <w:uiPriority w:val="99"/>
    <w:semiHidden/>
    <w:rsid w:val="007433DB"/>
    <w:pPr>
      <w:spacing w:before="100" w:beforeAutospacing="1" w:after="100" w:afterAutospacing="1"/>
    </w:pPr>
    <w:rPr>
      <w:rFonts w:ascii="Times New Roman" w:hAnsi="Times New Roman" w:cs="Times New Roman"/>
      <w:sz w:val="24"/>
      <w:szCs w:val="24"/>
      <w:lang w:eastAsia="it-IT"/>
      <w14:ligatures w14:val="none"/>
    </w:rPr>
  </w:style>
  <w:style w:type="paragraph" w:customStyle="1" w:styleId="Default">
    <w:name w:val="Default"/>
    <w:basedOn w:val="Normale"/>
    <w:rsid w:val="007433DB"/>
    <w:pPr>
      <w:autoSpaceDE w:val="0"/>
      <w:autoSpaceDN w:val="0"/>
    </w:pPr>
    <w:rPr>
      <w:rFonts w:ascii="Times New Roman" w:hAnsi="Times New Roman" w:cs="Times New Roman"/>
      <w:color w:val="000000"/>
      <w:sz w:val="24"/>
      <w:szCs w:val="24"/>
    </w:rPr>
  </w:style>
  <w:style w:type="character" w:styleId="Enfasicorsivo">
    <w:name w:val="Emphasis"/>
    <w:basedOn w:val="Carpredefinitoparagrafo"/>
    <w:uiPriority w:val="20"/>
    <w:qFormat/>
    <w:rsid w:val="007433DB"/>
    <w:rPr>
      <w:i/>
      <w:iCs/>
    </w:rPr>
  </w:style>
  <w:style w:type="paragraph" w:styleId="Intestazione">
    <w:name w:val="header"/>
    <w:basedOn w:val="Normale"/>
    <w:link w:val="IntestazioneCarattere"/>
    <w:uiPriority w:val="99"/>
    <w:unhideWhenUsed/>
    <w:rsid w:val="007F0124"/>
    <w:pPr>
      <w:tabs>
        <w:tab w:val="center" w:pos="4819"/>
        <w:tab w:val="right" w:pos="9638"/>
      </w:tabs>
    </w:pPr>
  </w:style>
  <w:style w:type="character" w:customStyle="1" w:styleId="IntestazioneCarattere">
    <w:name w:val="Intestazione Carattere"/>
    <w:basedOn w:val="Carpredefinitoparagrafo"/>
    <w:link w:val="Intestazione"/>
    <w:uiPriority w:val="99"/>
    <w:rsid w:val="007F0124"/>
    <w:rPr>
      <w:rFonts w:ascii="Aptos" w:hAnsi="Aptos" w:cs="Aptos"/>
      <w:kern w:val="0"/>
    </w:rPr>
  </w:style>
  <w:style w:type="paragraph" w:styleId="Pidipagina">
    <w:name w:val="footer"/>
    <w:basedOn w:val="Normale"/>
    <w:link w:val="PidipaginaCarattere"/>
    <w:uiPriority w:val="99"/>
    <w:unhideWhenUsed/>
    <w:rsid w:val="007F0124"/>
    <w:pPr>
      <w:tabs>
        <w:tab w:val="center" w:pos="4819"/>
        <w:tab w:val="right" w:pos="9638"/>
      </w:tabs>
    </w:pPr>
  </w:style>
  <w:style w:type="character" w:customStyle="1" w:styleId="PidipaginaCarattere">
    <w:name w:val="Piè di pagina Carattere"/>
    <w:basedOn w:val="Carpredefinitoparagrafo"/>
    <w:link w:val="Pidipagina"/>
    <w:uiPriority w:val="99"/>
    <w:rsid w:val="007F0124"/>
    <w:rPr>
      <w:rFonts w:ascii="Aptos" w:hAnsi="Aptos" w:cs="Aptos"/>
      <w:kern w:val="0"/>
    </w:rPr>
  </w:style>
  <w:style w:type="table" w:styleId="Grigliatabella">
    <w:name w:val="Table Grid"/>
    <w:basedOn w:val="Tabellanormale"/>
    <w:uiPriority w:val="59"/>
    <w:rsid w:val="00095D79"/>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00fb6-fddf-42d8-9070-0d5180fa0df8" xsi:nil="true"/>
    <lcf76f155ced4ddcb4097134ff3c332f xmlns="e33446fe-9119-42ca-8397-eec17cdd1d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4f1c7335a21a5c41b48794f2f4b79034">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66a61771cd1e291fdb4372aae17acad9"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EA294-0886-4113-A3C5-E0460CB6D7D3}">
  <ds:schemaRefs>
    <ds:schemaRef ds:uri="http://schemas.microsoft.com/office/2006/metadata/properties"/>
    <ds:schemaRef ds:uri="http://schemas.microsoft.com/office/infopath/2007/PartnerControls"/>
    <ds:schemaRef ds:uri="4c100fb6-fddf-42d8-9070-0d5180fa0df8"/>
    <ds:schemaRef ds:uri="e33446fe-9119-42ca-8397-eec17cdd1d4f"/>
  </ds:schemaRefs>
</ds:datastoreItem>
</file>

<file path=customXml/itemProps2.xml><?xml version="1.0" encoding="utf-8"?>
<ds:datastoreItem xmlns:ds="http://schemas.openxmlformats.org/officeDocument/2006/customXml" ds:itemID="{02B6AE8D-8336-4817-BD9B-55CEBBCF7417}">
  <ds:schemaRefs>
    <ds:schemaRef ds:uri="http://schemas.microsoft.com/sharepoint/v3/contenttype/forms"/>
  </ds:schemaRefs>
</ds:datastoreItem>
</file>

<file path=customXml/itemProps3.xml><?xml version="1.0" encoding="utf-8"?>
<ds:datastoreItem xmlns:ds="http://schemas.openxmlformats.org/officeDocument/2006/customXml" ds:itemID="{134E6BEF-EECE-4F46-AB5F-90E47649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446fe-9119-42ca-8397-eec17cdd1d4f"/>
    <ds:schemaRef ds:uri="4c100fb6-fddf-42d8-9070-0d5180fa0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2327</Words>
  <Characters>13265</Characters>
  <Application>Microsoft Office Word</Application>
  <DocSecurity>4</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Giuseppe Pellicano</cp:lastModifiedBy>
  <cp:revision>2</cp:revision>
  <cp:lastPrinted>2025-10-08T12:31:00Z</cp:lastPrinted>
  <dcterms:created xsi:type="dcterms:W3CDTF">2026-03-04T11:33:00Z</dcterms:created>
  <dcterms:modified xsi:type="dcterms:W3CDTF">2026-03-04T11:33:00Z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y fmtid="{D5CDD505-2E9C-101B-9397-08002B2CF9AE}" pid="3" name="MediaServiceImageTags">
    <vt:lpwstr/>
  </property>
</Properties>
</file>